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4B" w:rsidRPr="00BD3E38" w:rsidRDefault="00F7024B" w:rsidP="0046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по развитию конку</w:t>
      </w:r>
      <w:r w:rsidR="00BD3E38" w:rsidRPr="00BD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ренции в сфере здравоохранения </w:t>
      </w:r>
      <w:r w:rsidRPr="00BD3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рынках медицинских изделий на 2015-2016 годы</w:t>
      </w:r>
    </w:p>
    <w:p w:rsidR="00465FD6" w:rsidRPr="00465FD6" w:rsidRDefault="00465FD6" w:rsidP="0046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5000" w:type="pct"/>
        <w:tblLayout w:type="fixed"/>
        <w:tblLook w:val="0480" w:firstRow="0" w:lastRow="0" w:firstColumn="1" w:lastColumn="0" w:noHBand="0" w:noVBand="1"/>
      </w:tblPr>
      <w:tblGrid>
        <w:gridCol w:w="1660"/>
        <w:gridCol w:w="4517"/>
        <w:gridCol w:w="4753"/>
        <w:gridCol w:w="1525"/>
        <w:gridCol w:w="1560"/>
        <w:gridCol w:w="1936"/>
      </w:tblGrid>
      <w:tr w:rsidR="00453AF0" w:rsidRPr="00465FD6" w:rsidTr="00EC63DD">
        <w:tc>
          <w:tcPr>
            <w:tcW w:w="520" w:type="pct"/>
            <w:hideMark/>
          </w:tcPr>
          <w:p w:rsidR="0046608B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  <w:p w:rsidR="00E2071D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наименование проблемы)</w:t>
            </w:r>
          </w:p>
        </w:tc>
        <w:tc>
          <w:tcPr>
            <w:tcW w:w="1416" w:type="pct"/>
            <w:hideMark/>
          </w:tcPr>
          <w:p w:rsidR="0046608B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E2071D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проблемы)</w:t>
            </w:r>
          </w:p>
        </w:tc>
        <w:tc>
          <w:tcPr>
            <w:tcW w:w="1490" w:type="pct"/>
            <w:hideMark/>
          </w:tcPr>
          <w:p w:rsidR="0046608B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  <w:p w:rsidR="00E2071D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</w:t>
            </w:r>
            <w:bookmarkStart w:id="0" w:name="_GoBack"/>
            <w:bookmarkEnd w:id="0"/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по развитию конкуренции)</w:t>
            </w:r>
          </w:p>
        </w:tc>
        <w:tc>
          <w:tcPr>
            <w:tcW w:w="478" w:type="pct"/>
            <w:hideMark/>
          </w:tcPr>
          <w:p w:rsidR="0046608B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2071D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реализации предложения по развитию конкуренции)</w:t>
            </w:r>
          </w:p>
        </w:tc>
        <w:tc>
          <w:tcPr>
            <w:tcW w:w="489" w:type="pct"/>
            <w:hideMark/>
          </w:tcPr>
          <w:p w:rsidR="00E2071D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607" w:type="pct"/>
            <w:hideMark/>
          </w:tcPr>
          <w:p w:rsidR="00E2071D" w:rsidRPr="00465FD6" w:rsidRDefault="0046608B" w:rsidP="0046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453AF0" w:rsidRPr="00465FD6" w:rsidTr="00EC63DD">
        <w:tc>
          <w:tcPr>
            <w:tcW w:w="520" w:type="pct"/>
          </w:tcPr>
          <w:p w:rsidR="0045720B" w:rsidRPr="00465FD6" w:rsidRDefault="0045720B" w:rsidP="00465F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Отсутствие федерального закона, регулирующего вопросы обращения медицинских изделий</w:t>
            </w:r>
          </w:p>
        </w:tc>
        <w:tc>
          <w:tcPr>
            <w:tcW w:w="1416" w:type="pct"/>
          </w:tcPr>
          <w:p w:rsidR="0045720B" w:rsidRPr="00465FD6" w:rsidRDefault="0045720B" w:rsidP="00465FD6">
            <w:pPr>
              <w:pStyle w:val="a5"/>
              <w:rPr>
                <w:rFonts w:cs="Times New Roman"/>
              </w:rPr>
            </w:pPr>
            <w:r w:rsidRPr="00465FD6">
              <w:rPr>
                <w:rFonts w:cs="Times New Roman"/>
              </w:rPr>
              <w:t xml:space="preserve">Рынки медицинских изделий, запасных частей и сопутствующих материалов, а также рынок технического обслуживания медицинских изделий являются </w:t>
            </w:r>
            <w:proofErr w:type="spellStart"/>
            <w:r w:rsidRPr="00465FD6">
              <w:rPr>
                <w:rFonts w:cs="Times New Roman"/>
              </w:rPr>
              <w:t>низкоконкурентными</w:t>
            </w:r>
            <w:proofErr w:type="spellEnd"/>
            <w:r w:rsidRPr="00465FD6">
              <w:rPr>
                <w:rFonts w:cs="Times New Roman"/>
              </w:rPr>
              <w:t xml:space="preserve"> из-за отсутствия требований к медицинским изделиям, критериев их взаимозаменяемости и искусственного ограничения и высоких цен деталей, запчастей к </w:t>
            </w:r>
            <w:proofErr w:type="spellStart"/>
            <w:r w:rsidRPr="00465FD6">
              <w:rPr>
                <w:rFonts w:cs="Times New Roman"/>
              </w:rPr>
              <w:t>мед</w:t>
            </w:r>
            <w:proofErr w:type="gramStart"/>
            <w:r w:rsidRPr="00465FD6">
              <w:rPr>
                <w:rFonts w:cs="Times New Roman"/>
              </w:rPr>
              <w:t>.и</w:t>
            </w:r>
            <w:proofErr w:type="gramEnd"/>
            <w:r w:rsidRPr="00465FD6">
              <w:rPr>
                <w:rFonts w:cs="Times New Roman"/>
              </w:rPr>
              <w:t>зделиям</w:t>
            </w:r>
            <w:proofErr w:type="spellEnd"/>
            <w:r w:rsidRPr="00465FD6">
              <w:rPr>
                <w:rFonts w:cs="Times New Roman"/>
              </w:rPr>
              <w:t xml:space="preserve">, а также программ, обеспечивающих их работу, за доступ к которым покупатели вынуждены представлять дополнительную плату. Таким образом, при закупках </w:t>
            </w:r>
            <w:proofErr w:type="spellStart"/>
            <w:r w:rsidRPr="00465FD6">
              <w:rPr>
                <w:rFonts w:cs="Times New Roman"/>
              </w:rPr>
              <w:t>мед</w:t>
            </w:r>
            <w:proofErr w:type="gramStart"/>
            <w:r w:rsidRPr="00465FD6">
              <w:rPr>
                <w:rFonts w:cs="Times New Roman"/>
              </w:rPr>
              <w:t>.и</w:t>
            </w:r>
            <w:proofErr w:type="gramEnd"/>
            <w:r w:rsidRPr="00465FD6">
              <w:rPr>
                <w:rFonts w:cs="Times New Roman"/>
              </w:rPr>
              <w:t>зделий</w:t>
            </w:r>
            <w:proofErr w:type="spellEnd"/>
            <w:r w:rsidRPr="00465FD6">
              <w:rPr>
                <w:rFonts w:cs="Times New Roman"/>
              </w:rPr>
              <w:t xml:space="preserve"> нет правовых оснований для признания их взаимозаменяемыми, что приводит к нерациональному расходованию бюджетных средств, а медицинские организации, периодически оплачивая запасные части, либо возможность продолжения работы с </w:t>
            </w:r>
            <w:proofErr w:type="spellStart"/>
            <w:r w:rsidRPr="00465FD6">
              <w:rPr>
                <w:rFonts w:cs="Times New Roman"/>
              </w:rPr>
              <w:t>мед.изделием</w:t>
            </w:r>
            <w:proofErr w:type="spellEnd"/>
            <w:r w:rsidRPr="00465FD6">
              <w:rPr>
                <w:rFonts w:cs="Times New Roman"/>
              </w:rPr>
              <w:t xml:space="preserve"> по окончании определенного срока, платят за один, уже оплаченный товар, дополнительно, для обеспечения его функционирования</w:t>
            </w:r>
          </w:p>
        </w:tc>
        <w:tc>
          <w:tcPr>
            <w:tcW w:w="1490" w:type="pct"/>
          </w:tcPr>
          <w:p w:rsidR="0045720B" w:rsidRPr="00465FD6" w:rsidRDefault="0045720B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Федерального закона «Об обращении медицинских изделий», предусматривающего:</w:t>
            </w:r>
          </w:p>
          <w:p w:rsidR="0045720B" w:rsidRPr="00465FD6" w:rsidRDefault="0045720B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регулирование деятельности по техническому обслуживанию </w:t>
            </w:r>
            <w:proofErr w:type="spell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зделий</w:t>
            </w:r>
            <w:proofErr w:type="spell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возможность входа на рынок всем хозяйствующим субъектам – членам саморегулируемой организации, соответствующим требованиям, установленным СРО;</w:t>
            </w:r>
          </w:p>
          <w:p w:rsidR="0045720B" w:rsidRPr="00465FD6" w:rsidRDefault="0045720B" w:rsidP="00465FD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- требование о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>б обязанности продавца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>ить покупателю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одновременно с передачей медицинского изделия ключей, паролей доступа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сведений,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необходимых для монтажа, наладки, применения, эксплуатации, технического обслуживания и поддержания медицинского изделия в исправном и работоспособном состоянии;</w:t>
            </w:r>
          </w:p>
          <w:p w:rsidR="0045720B" w:rsidRPr="00465FD6" w:rsidRDefault="0045720B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взаимозаменяемость медицинских изделий и запасных частей (расходных материалов)  </w:t>
            </w:r>
          </w:p>
        </w:tc>
        <w:tc>
          <w:tcPr>
            <w:tcW w:w="478" w:type="pct"/>
          </w:tcPr>
          <w:p w:rsidR="0045720B" w:rsidRPr="00465FD6" w:rsidRDefault="0045720B" w:rsidP="00465FD6">
            <w:pPr>
              <w:pStyle w:val="a5"/>
              <w:jc w:val="center"/>
              <w:rPr>
                <w:rFonts w:cs="Times New Roman"/>
              </w:rPr>
            </w:pPr>
            <w:r w:rsidRPr="00465FD6">
              <w:rPr>
                <w:rFonts w:cs="Times New Roman"/>
              </w:rPr>
              <w:t>Январь 2015</w:t>
            </w:r>
          </w:p>
          <w:p w:rsidR="0045720B" w:rsidRPr="00465FD6" w:rsidRDefault="0045720B" w:rsidP="00465FD6">
            <w:pPr>
              <w:pStyle w:val="a5"/>
              <w:jc w:val="center"/>
              <w:rPr>
                <w:rFonts w:cs="Times New Roman"/>
              </w:rPr>
            </w:pPr>
            <w:r w:rsidRPr="00465FD6">
              <w:rPr>
                <w:rFonts w:cs="Times New Roman"/>
              </w:rPr>
              <w:t>(внесение законопроекта в Государственную Думу)</w:t>
            </w:r>
          </w:p>
        </w:tc>
        <w:tc>
          <w:tcPr>
            <w:tcW w:w="489" w:type="pct"/>
          </w:tcPr>
          <w:p w:rsidR="0045720B" w:rsidRPr="00465FD6" w:rsidRDefault="0045720B" w:rsidP="00465FD6">
            <w:pPr>
              <w:pStyle w:val="a5"/>
              <w:rPr>
                <w:rFonts w:cs="Times New Roman"/>
              </w:rPr>
            </w:pPr>
            <w:r w:rsidRPr="00465FD6">
              <w:rPr>
                <w:rFonts w:cs="Times New Roman"/>
              </w:rPr>
              <w:t>Федеральный закон</w:t>
            </w:r>
          </w:p>
        </w:tc>
        <w:tc>
          <w:tcPr>
            <w:tcW w:w="607" w:type="pct"/>
          </w:tcPr>
          <w:p w:rsidR="0045720B" w:rsidRPr="00465FD6" w:rsidRDefault="0045720B" w:rsidP="00465FD6">
            <w:pPr>
              <w:pStyle w:val="a5"/>
              <w:jc w:val="center"/>
              <w:rPr>
                <w:rFonts w:cs="Times New Roman"/>
              </w:rPr>
            </w:pPr>
            <w:r w:rsidRPr="00465FD6">
              <w:rPr>
                <w:rFonts w:cs="Times New Roman"/>
              </w:rPr>
              <w:t>Минздрав России</w:t>
            </w:r>
          </w:p>
          <w:p w:rsidR="0045720B" w:rsidRPr="00465FD6" w:rsidRDefault="0045720B" w:rsidP="00465FD6">
            <w:pPr>
              <w:pStyle w:val="a5"/>
              <w:jc w:val="center"/>
              <w:rPr>
                <w:rFonts w:cs="Times New Roman"/>
              </w:rPr>
            </w:pPr>
            <w:r w:rsidRPr="00465FD6">
              <w:rPr>
                <w:rFonts w:cs="Times New Roman"/>
              </w:rPr>
              <w:t>ФАС России</w:t>
            </w:r>
          </w:p>
          <w:p w:rsidR="0045720B" w:rsidRPr="00465FD6" w:rsidRDefault="0045720B" w:rsidP="00465FD6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465FD6">
              <w:rPr>
                <w:rFonts w:cs="Times New Roman"/>
              </w:rPr>
              <w:t>Минпромторг</w:t>
            </w:r>
            <w:proofErr w:type="spellEnd"/>
            <w:r w:rsidRPr="00465FD6">
              <w:rPr>
                <w:rFonts w:cs="Times New Roman"/>
              </w:rPr>
              <w:t xml:space="preserve"> России</w:t>
            </w:r>
          </w:p>
        </w:tc>
      </w:tr>
      <w:tr w:rsidR="00453AF0" w:rsidRPr="00465FD6" w:rsidTr="00EC63DD">
        <w:tc>
          <w:tcPr>
            <w:tcW w:w="520" w:type="pct"/>
          </w:tcPr>
          <w:p w:rsidR="0045720B" w:rsidRPr="00465FD6" w:rsidRDefault="005C25F1" w:rsidP="00465F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и </w:t>
            </w:r>
            <w:r w:rsidR="0045720B"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Росздравнадзор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720B" w:rsidRPr="00465FD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45720B"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</w:t>
            </w:r>
            <w:r w:rsidR="006A67C3" w:rsidRPr="00465FD6">
              <w:rPr>
                <w:rFonts w:ascii="Times New Roman" w:hAnsi="Times New Roman" w:cs="Times New Roman"/>
                <w:sz w:val="24"/>
                <w:szCs w:val="24"/>
              </w:rPr>
              <w:t>меняемост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67C3"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1416" w:type="pct"/>
          </w:tcPr>
          <w:p w:rsidR="0045720B" w:rsidRPr="00465FD6" w:rsidRDefault="0045720B" w:rsidP="00465F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Принятый Федеральный закон от 21 ноября 2011 года № 323 «Об охране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граждан в Российской Федерации» вводит понятие взаимозаменяемости медицинских изделий, и предусматривает внесение сведений о взаимозаменяемых медицинских изделиях в государственный реестр медицинских изделий и организаций, осуществляющих производство и изготовление медицинских изделий. </w:t>
            </w:r>
          </w:p>
          <w:p w:rsidR="0045720B" w:rsidRPr="00465FD6" w:rsidRDefault="0045720B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Решение вопросов взаимозаменяемости товаров, в том числе медицинских изделий, являются ключевыми для обеспечения конкуренции и эффективного расходования бюджетных средств.</w:t>
            </w:r>
            <w:r w:rsidR="006A67C3"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Минздравом России и Росздравнадзором до сих пор не ведется работа по определению взаимозаменяемости медицинских изделий, предусмотренная в законе. </w:t>
            </w:r>
          </w:p>
        </w:tc>
        <w:tc>
          <w:tcPr>
            <w:tcW w:w="1490" w:type="pct"/>
          </w:tcPr>
          <w:p w:rsidR="0045720B" w:rsidRPr="00465FD6" w:rsidRDefault="005C25F1" w:rsidP="00465FD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  <w:r w:rsidR="006A67C3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несени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A67C3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сведений о взаимозаменяемых медицинских изделиях в </w:t>
            </w:r>
            <w:r w:rsidR="006A67C3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государственный реестр медицинских изделий и организаций, осуществляющих производство и изготовление медицинских изделий. </w:t>
            </w:r>
          </w:p>
          <w:p w:rsidR="005C25F1" w:rsidRPr="00465FD6" w:rsidRDefault="005C25F1" w:rsidP="00465FD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F61" w:rsidRPr="00465FD6" w:rsidRDefault="006A67C3" w:rsidP="00465FD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</w:t>
            </w:r>
            <w:r w:rsidR="00CB4F6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и утвер</w:t>
            </w:r>
            <w:r w:rsidR="00CB4F6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ждение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F6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Российской Федерации, содержащего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поряд</w:t>
            </w:r>
            <w:r w:rsidR="00CB4F6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установления взаимозаменяемости медицинских изделий</w:t>
            </w:r>
            <w:r w:rsidR="00CB4F6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25F1" w:rsidRPr="00465FD6" w:rsidRDefault="005C25F1" w:rsidP="00465FD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C3" w:rsidRPr="00465FD6" w:rsidRDefault="006A67C3" w:rsidP="00465FD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административного регламента по установлению взаимозаменяемости медицинских изделий</w:t>
            </w:r>
          </w:p>
        </w:tc>
        <w:tc>
          <w:tcPr>
            <w:tcW w:w="478" w:type="pct"/>
          </w:tcPr>
          <w:p w:rsidR="0045720B" w:rsidRPr="00465FD6" w:rsidRDefault="006A67C3" w:rsidP="0046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2014-2015 гг.</w:t>
            </w:r>
          </w:p>
        </w:tc>
        <w:tc>
          <w:tcPr>
            <w:tcW w:w="489" w:type="pct"/>
          </w:tcPr>
          <w:p w:rsidR="0045720B" w:rsidRPr="00465FD6" w:rsidRDefault="006A67C3" w:rsidP="0046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конкуренции </w:t>
            </w: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между взаимозаменяемыми </w:t>
            </w:r>
            <w:proofErr w:type="spellStart"/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607" w:type="pct"/>
          </w:tcPr>
          <w:p w:rsidR="0045720B" w:rsidRPr="00465FD6" w:rsidRDefault="006A67C3" w:rsidP="0046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Минздрав России</w:t>
            </w:r>
          </w:p>
          <w:p w:rsidR="006A67C3" w:rsidRPr="00465FD6" w:rsidRDefault="006A67C3" w:rsidP="0046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Росздравнадзор</w:t>
            </w:r>
          </w:p>
          <w:p w:rsidR="006A67C3" w:rsidRPr="00465FD6" w:rsidRDefault="006A67C3" w:rsidP="0046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036178" w:rsidRPr="00465FD6" w:rsidTr="00EC63DD">
        <w:tc>
          <w:tcPr>
            <w:tcW w:w="520" w:type="pct"/>
            <w:vMerge w:val="restar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ограничения конкуренции на рынках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на торгах</w:t>
            </w:r>
          </w:p>
        </w:tc>
        <w:tc>
          <w:tcPr>
            <w:tcW w:w="1416" w:type="pct"/>
          </w:tcPr>
          <w:p w:rsidR="00036178" w:rsidRPr="00465FD6" w:rsidRDefault="00036178" w:rsidP="00465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конкурсе стимулирует </w:t>
            </w:r>
            <w:r w:rsidR="005C25F1" w:rsidRPr="00465FD6">
              <w:rPr>
                <w:rFonts w:ascii="Times New Roman" w:hAnsi="Times New Roman" w:cs="Times New Roman"/>
                <w:sz w:val="24"/>
                <w:szCs w:val="24"/>
              </w:rPr>
              <w:t>неконкурентное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уникальных по характеристикам и наиболее дорогих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мед.изделий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. Часто оценки разным предложениям участников торгов выставляются членами конкурсной комиссии субъективно и несправедливо</w:t>
            </w:r>
            <w:r w:rsidR="005C25F1" w:rsidRPr="0046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распоряжение  Правительства Российской Федерации об утверждении перечня товаров, закупаемых на аукционе, путем включения в перечень всех медицинских изделий без исключений</w:t>
            </w:r>
          </w:p>
        </w:tc>
        <w:tc>
          <w:tcPr>
            <w:tcW w:w="478" w:type="pct"/>
          </w:tcPr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036178" w:rsidRPr="00465FD6" w:rsidTr="00EC63DD">
        <w:tc>
          <w:tcPr>
            <w:tcW w:w="520" w:type="pct"/>
            <w:vMerge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036178" w:rsidRPr="00465FD6" w:rsidRDefault="005C25F1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036178" w:rsidRPr="00465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осударственные заказчики объединяют в один лот различные виды технических средств реабилитации,</w:t>
            </w:r>
            <w:r w:rsidR="00036178"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разные функциональные характеристики, предназначенные для разных медицинских показаний, применяемые в различных условиях, выпускаемые по различным технологиям, т.е. товары технологически и функционально не связанные между собой.</w:t>
            </w:r>
            <w:r w:rsidR="00036178" w:rsidRPr="00465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6178"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акие </w:t>
            </w:r>
            <w:r w:rsidR="00036178"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закупочные процедуры признаются несостоявшимися, а контракты заключаются с единственными участниками по максимальным ценам.</w:t>
            </w:r>
          </w:p>
        </w:tc>
        <w:tc>
          <w:tcPr>
            <w:tcW w:w="1490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Выдача разъяснений о запрете включения в один лот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различных видов технических средств реабилитации</w:t>
            </w:r>
          </w:p>
        </w:tc>
        <w:tc>
          <w:tcPr>
            <w:tcW w:w="478" w:type="pct"/>
          </w:tcPr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036178" w:rsidRPr="00465FD6" w:rsidTr="00EC63DD">
        <w:tc>
          <w:tcPr>
            <w:tcW w:w="520" w:type="pct"/>
            <w:vMerge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6" w:type="pct"/>
          </w:tcPr>
          <w:p w:rsidR="00036178" w:rsidRPr="00465FD6" w:rsidRDefault="00036178" w:rsidP="00465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переход производителей медицинского оборудования к использованию специальных программно-технических средств, направленных на ограничение использования альтернативных эквивалентных расходных материалов (реагентов).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Госзаказчики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вынуждены приобретать расходные материалы по завышенным ценам, не имея возможности испол</w:t>
            </w:r>
            <w:r w:rsidR="00AE7A9E" w:rsidRPr="00465FD6">
              <w:rPr>
                <w:rFonts w:ascii="Times New Roman" w:hAnsi="Times New Roman" w:cs="Times New Roman"/>
                <w:sz w:val="24"/>
                <w:szCs w:val="24"/>
              </w:rPr>
              <w:t>ьзовать эквивалентную продукцию</w:t>
            </w:r>
          </w:p>
        </w:tc>
        <w:tc>
          <w:tcPr>
            <w:tcW w:w="1490" w:type="pct"/>
          </w:tcPr>
          <w:p w:rsidR="00036178" w:rsidRPr="00465FD6" w:rsidRDefault="00D804D4" w:rsidP="00A94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Предусмотреть в </w:t>
            </w:r>
            <w:r w:rsidR="00AE7A9E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5C25F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опроекте</w:t>
            </w:r>
            <w:r w:rsidR="00AE7A9E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обращении медицинских изделий» 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производителей медицинского оборудования раскрывать в регистрационном досье на медицинское оборудование требования к расходным материалам</w:t>
            </w:r>
            <w:r w:rsidR="00A9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реагентам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</w:t>
            </w:r>
            <w:r w:rsidR="00AE7A9E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запрет на 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необоснованные ограничения производителями медицинского оборудования возможности 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расходных материалов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реагентов 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производителей, если такие расходные материалы </w:t>
            </w:r>
            <w:r w:rsidR="00A9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реагенты </w:t>
            </w:r>
            <w:r w:rsidR="00A94E70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зарегистрированы в установленном порядке на территории Р</w:t>
            </w:r>
            <w:r w:rsidR="00A9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Федерации и </w:t>
            </w:r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всем установленным производителем</w:t>
            </w:r>
            <w:proofErr w:type="gramEnd"/>
            <w:r w:rsidR="0069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соответствующего медицинского оборудования и раскрытым в регистрационном досье требованиям для расходных материалов к такому оборудованию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7A9E" w:rsidRPr="00465FD6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  </w:t>
            </w:r>
          </w:p>
        </w:tc>
        <w:tc>
          <w:tcPr>
            <w:tcW w:w="478" w:type="pct"/>
          </w:tcPr>
          <w:p w:rsidR="00036178" w:rsidRPr="00465FD6" w:rsidRDefault="00EB739E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036178" w:rsidRPr="00465FD6" w:rsidRDefault="00036178" w:rsidP="00465FD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07" w:type="pct"/>
          </w:tcPr>
          <w:p w:rsidR="00036178" w:rsidRPr="00465FD6" w:rsidRDefault="00AE7A9E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AE7A9E" w:rsidRPr="00465FD6" w:rsidRDefault="00AE7A9E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036178" w:rsidRPr="00465FD6" w:rsidTr="00EC63DD">
        <w:tc>
          <w:tcPr>
            <w:tcW w:w="520" w:type="pct"/>
            <w:vMerge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6" w:type="pct"/>
          </w:tcPr>
          <w:p w:rsidR="00036178" w:rsidRPr="00465FD6" w:rsidRDefault="00036178" w:rsidP="00465FD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При закупке расходных материалов для лабораторного медицинского оборудования указание в технической документац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кционного задания конкретных марок расходных материалов (реагентов), рекомендуемых производителем данного оборудования, или  требование предоставления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авторизационного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письма от производителя о возможности использования эквивалентных расходных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материалов. </w:t>
            </w:r>
          </w:p>
        </w:tc>
        <w:tc>
          <w:tcPr>
            <w:tcW w:w="1490" w:type="pct"/>
          </w:tcPr>
          <w:p w:rsidR="00036178" w:rsidRPr="00465FD6" w:rsidRDefault="00AE7A9E" w:rsidP="00A94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Разъяснение 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о несоответствии действующему законодательству</w:t>
            </w:r>
            <w:r w:rsidR="005C25F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в аукционн</w:t>
            </w:r>
            <w:r w:rsidR="005C25F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</w:t>
            </w:r>
            <w:r w:rsidR="005C25F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39E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 поставке товара 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</w:t>
            </w:r>
            <w:r w:rsidR="00EB739E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авторизационного</w:t>
            </w:r>
            <w:proofErr w:type="spellEnd"/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 </w:t>
            </w:r>
            <w:r w:rsidR="005C25F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о возможности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использования </w:t>
            </w:r>
            <w:r w:rsidR="005C25F1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и 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эквивалентных расходных материалов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технической документации аукционного задания конкретных марок расходных материалов (реагентов), рекомендуемых производителем данного 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оборудования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указани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гарантийных обязательствах положения о безусловном снятии с гарантийного обслуживания оборудования, работающего на реагентах, не вх</w:t>
            </w:r>
            <w:r w:rsidR="00EB739E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одящих в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рекомендованных производителем</w:t>
            </w:r>
            <w:proofErr w:type="gramEnd"/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="00A94E70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зарегистрированных в установленном порядке на территории Р</w:t>
            </w:r>
            <w:r w:rsidR="00A94E70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оссийской Федерации и соответствующих всем установленным производителем соответствующего медицинского оборудования и раскрытым в регистрационном досье требованиям к таким расходным материалам (реагентам)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" w:type="pct"/>
          </w:tcPr>
          <w:p w:rsidR="00036178" w:rsidRPr="00465FD6" w:rsidRDefault="00EB739E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89" w:type="pct"/>
          </w:tcPr>
          <w:p w:rsidR="00036178" w:rsidRPr="00465FD6" w:rsidRDefault="00036178" w:rsidP="00465FD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07" w:type="pct"/>
          </w:tcPr>
          <w:p w:rsidR="00036178" w:rsidRPr="00465FD6" w:rsidRDefault="005C25F1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036178" w:rsidRPr="00465FD6" w:rsidTr="00EC63DD">
        <w:tc>
          <w:tcPr>
            <w:tcW w:w="520" w:type="pct"/>
            <w:vMerge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Отсутствие единообразия требований при составлении технических заданий при закупке медицинских изделий. Бессистемность при государственных закупках медицинских изделий, входящих в федеральный перечень реабилитационных мероприятий, технических средств реабилитации и услуг, предоставляемых инвалиду, когда каждый регион самостоятельно разрабатывает технические задания, что приводит к существенным различиям в требованиях к продукции от региона к региону. Более того, в ТЗ зачастую вносятся «блокирующие» требования, не влияющие на показатели безопасности и качества продукции, которым, в свою очередь, соответствуют конкретные производители.</w:t>
            </w:r>
          </w:p>
        </w:tc>
        <w:tc>
          <w:tcPr>
            <w:tcW w:w="1490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типовых, унифицированных технических заданий </w:t>
            </w:r>
            <w:r w:rsidR="00EC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контрактов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отдельным категориям продуктов/услуг (например, технические средства реабилитации) с привлечение</w:t>
            </w:r>
            <w:r w:rsidR="00F118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широкого круга представителей экспертного сообщества.</w:t>
            </w:r>
          </w:p>
          <w:p w:rsidR="00036178" w:rsidRPr="00465FD6" w:rsidRDefault="00036178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CD" w:rsidRPr="00465FD6" w:rsidRDefault="00AE7A9E" w:rsidP="00EC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36178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азработка типовых контрактов с поставщиком.</w:t>
            </w:r>
          </w:p>
        </w:tc>
        <w:tc>
          <w:tcPr>
            <w:tcW w:w="478" w:type="pct"/>
          </w:tcPr>
          <w:p w:rsidR="00036178" w:rsidRPr="00465FD6" w:rsidRDefault="008816C7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036178" w:rsidRPr="00465FD6" w:rsidRDefault="00036178" w:rsidP="00465FD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07" w:type="pct"/>
          </w:tcPr>
          <w:p w:rsidR="00036178" w:rsidRDefault="00EB739E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F118F6" w:rsidRPr="00465FD6" w:rsidRDefault="00F118F6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EB739E" w:rsidRPr="00465FD6" w:rsidRDefault="00EB739E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036178" w:rsidRPr="00465FD6" w:rsidTr="00EC63DD">
        <w:tc>
          <w:tcPr>
            <w:tcW w:w="520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Двойной (дублирующий) государствен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контроль  в сфере обращения </w:t>
            </w:r>
            <w:r w:rsidR="00EB739E"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видов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медицинских изделий</w:t>
            </w:r>
          </w:p>
        </w:tc>
        <w:tc>
          <w:tcPr>
            <w:tcW w:w="1416" w:type="pct"/>
          </w:tcPr>
          <w:p w:rsidR="00036178" w:rsidRPr="00465FD6" w:rsidRDefault="00036178" w:rsidP="00465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прохождении процедуры  регистрации медицинских изделий проводится проверка и испытания (технические, токсикологические,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клинические) для подтверждения безопасности изделия. При этом ряд медицинских изделий  является одновременно медицинским изделием и средством измерения, или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прекурсором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, или спиртосодержащим изделием, или оборудованием высокочастотным или имеет двойное применение. Надзор за обращением медицинских изделий осуществляет Росздравнадзор, но в то же время и 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Ростехрегулирование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 (в части метрологических замеров), ФСКН России (в части обращения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Роскомсвязь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применения приборов высокочастотных), ФТС России (при проведении таможенного контроля). Затраты на выполнение дополнительных требований существенно влияет на цены на такие медицинские изделия (определение места хранения для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,  получение разрешения на применения высокочастотных приборов, получение лицензии на ввоз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, уплата дополнительных пошлин и НДС при таможенном оформлении и т.д.).</w:t>
            </w:r>
          </w:p>
        </w:tc>
        <w:tc>
          <w:tcPr>
            <w:tcW w:w="1490" w:type="pct"/>
          </w:tcPr>
          <w:p w:rsidR="00036178" w:rsidRDefault="00036178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Введение единого статуса  медицинского изделия со всеми  требованиями к их отдельным категориям  с учетом всех возможных рисков, </w:t>
            </w: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обращением которых будет осуществлять только  Росздравнадзор.</w:t>
            </w:r>
          </w:p>
          <w:p w:rsidR="0053000F" w:rsidRDefault="0053000F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00F" w:rsidRPr="00465FD6" w:rsidRDefault="0053000F" w:rsidP="0053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единого Технического регламента «О безопасности медицинских изделий», предусматривающего единые требования по безопасности, эффективности и качеству всех медицинских изделий, на соответствие которому должно проверяться медицинское изделие при регистрации.</w:t>
            </w:r>
          </w:p>
        </w:tc>
        <w:tc>
          <w:tcPr>
            <w:tcW w:w="478" w:type="pct"/>
          </w:tcPr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89" w:type="pct"/>
          </w:tcPr>
          <w:p w:rsidR="00036178" w:rsidRPr="00465FD6" w:rsidRDefault="00036178" w:rsidP="0046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036178" w:rsidRPr="00465FD6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</w:tr>
      <w:tr w:rsidR="00036178" w:rsidRPr="00465FD6" w:rsidTr="00EC63DD">
        <w:tc>
          <w:tcPr>
            <w:tcW w:w="520" w:type="pct"/>
          </w:tcPr>
          <w:p w:rsidR="00036178" w:rsidRPr="00465FD6" w:rsidRDefault="00EB739E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Несоразмерное </w:t>
            </w:r>
            <w:r w:rsidR="00036178"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обращения медицинских изделий</w:t>
            </w:r>
          </w:p>
        </w:tc>
        <w:tc>
          <w:tcPr>
            <w:tcW w:w="1416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«Основные санитарные правила обеспечения радиационной безопасности (ОСПОРБ-99/2010)» требуют предварительного  согласо</w:t>
            </w:r>
            <w:r w:rsidR="000C7839">
              <w:rPr>
                <w:rFonts w:ascii="Times New Roman" w:hAnsi="Times New Roman" w:cs="Times New Roman"/>
                <w:sz w:val="24"/>
                <w:szCs w:val="24"/>
              </w:rPr>
              <w:t>вания факта покупки и продажи (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т.е. обеими сторонами) рентгеновских  медицинских аппаратов  путем подачи  заявки установленной формы главному государственному санитарному врачу по территории. Такое согласование является излишним, так как применение рентгеновских аппаратов в медицине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относится к виду деятельности, подлежащему лицензированию.</w:t>
            </w:r>
          </w:p>
        </w:tc>
        <w:tc>
          <w:tcPr>
            <w:tcW w:w="1490" w:type="pct"/>
          </w:tcPr>
          <w:p w:rsidR="00036178" w:rsidRPr="00465FD6" w:rsidRDefault="00036178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Внести изменения в 3,5,1 и 3,5,2  документа «Основные санитарные правила обеспечения радиационной безопасности (ОСПОРБ-99/2010)»  </w:t>
            </w:r>
          </w:p>
        </w:tc>
        <w:tc>
          <w:tcPr>
            <w:tcW w:w="478" w:type="pct"/>
          </w:tcPr>
          <w:p w:rsidR="00036178" w:rsidRPr="00465FD6" w:rsidRDefault="008816C7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036178" w:rsidRPr="00465FD6" w:rsidRDefault="00036178" w:rsidP="0046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036178" w:rsidRPr="00465FD6" w:rsidRDefault="00EB739E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  <w:p w:rsidR="00EB739E" w:rsidRPr="00465FD6" w:rsidRDefault="00EB739E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78" w:rsidRPr="00465FD6" w:rsidTr="00EC63DD">
        <w:tc>
          <w:tcPr>
            <w:tcW w:w="520" w:type="pct"/>
          </w:tcPr>
          <w:p w:rsidR="00036178" w:rsidRPr="00465FD6" w:rsidRDefault="00EB739E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Дестимулирующие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локализацию производства медицинских изделий таможенные пошлины</w:t>
            </w:r>
          </w:p>
        </w:tc>
        <w:tc>
          <w:tcPr>
            <w:tcW w:w="1416" w:type="pct"/>
          </w:tcPr>
          <w:p w:rsidR="00036178" w:rsidRPr="00465FD6" w:rsidRDefault="00036178" w:rsidP="00465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импортное зарегистрированное изделие медтехники  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ввозится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с льготным НДС 0% и таможенной пошлиной 0%, а компоненты и запчасти к нему трактуются таможней как простые электротехнические изделия (НДС 18%, таможенная пошлина 20%, сертификат соответствия почти на каждую отдельную деталь).</w:t>
            </w:r>
          </w:p>
        </w:tc>
        <w:tc>
          <w:tcPr>
            <w:tcW w:w="1490" w:type="pct"/>
          </w:tcPr>
          <w:p w:rsidR="00036178" w:rsidRPr="00465FD6" w:rsidRDefault="00036178" w:rsidP="00465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Установление таможенных льгот на комплектующие, а не на готовые изделия </w:t>
            </w:r>
          </w:p>
        </w:tc>
        <w:tc>
          <w:tcPr>
            <w:tcW w:w="478" w:type="pct"/>
          </w:tcPr>
          <w:p w:rsidR="00036178" w:rsidRPr="00465FD6" w:rsidRDefault="008816C7" w:rsidP="00465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036178" w:rsidRPr="00465FD6" w:rsidRDefault="00EB739E" w:rsidP="00465F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6178"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отечественного производства  медицинской техники</w:t>
            </w:r>
          </w:p>
        </w:tc>
        <w:tc>
          <w:tcPr>
            <w:tcW w:w="607" w:type="pct"/>
          </w:tcPr>
          <w:p w:rsidR="00036178" w:rsidRPr="002070E1" w:rsidRDefault="000C7839" w:rsidP="0046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</w:tc>
      </w:tr>
      <w:tr w:rsidR="00036178" w:rsidRPr="00465FD6" w:rsidTr="00EC63DD">
        <w:tc>
          <w:tcPr>
            <w:tcW w:w="520" w:type="pct"/>
          </w:tcPr>
          <w:p w:rsidR="00036178" w:rsidRPr="00CA54D7" w:rsidRDefault="003E6DB7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медицинском изделии (инструкция по применению, технический паспорт) в открытых источниках</w:t>
            </w:r>
          </w:p>
        </w:tc>
        <w:tc>
          <w:tcPr>
            <w:tcW w:w="1416" w:type="pct"/>
          </w:tcPr>
          <w:p w:rsidR="00CA54D7" w:rsidRPr="00CA54D7" w:rsidRDefault="00CA54D7" w:rsidP="00CA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Участники торгов предоставляют разные комплекты документов, подтверждающих технические и функциональные характеристики товара, достоверность которых не может быть оценена заказчиком.</w:t>
            </w:r>
          </w:p>
          <w:p w:rsidR="00036178" w:rsidRPr="00CA54D7" w:rsidRDefault="00CA54D7" w:rsidP="00CA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Отдельные производители медицинских изделий не предоставляют всю полноту информации о свойствах своих товаров, скрывают данные клинических исследований, а медицинские организации не имеют механизмов затребования документов для оценки качества закупленных изделий.</w:t>
            </w:r>
          </w:p>
        </w:tc>
        <w:tc>
          <w:tcPr>
            <w:tcW w:w="1490" w:type="pct"/>
          </w:tcPr>
          <w:p w:rsidR="00036178" w:rsidRPr="00CA54D7" w:rsidRDefault="00AB5A19" w:rsidP="00AB5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</w:t>
            </w:r>
            <w:r w:rsidR="003E6DB7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>в законопроект «Об обращении медицинских изделий» требовани</w:t>
            </w: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E6DB7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</w:t>
            </w:r>
            <w:r w:rsidR="00036178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>перативно</w:t>
            </w:r>
            <w:r w:rsidR="003E6DB7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36178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036178"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азмещени</w:t>
            </w:r>
            <w:r w:rsidR="003E6DB7"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036178"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официальном сайте Росздравнадзора документации </w:t>
            </w:r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036178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>каждо</w:t>
            </w: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36178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6178"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медиздели</w:t>
            </w:r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036178"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036178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включая </w:t>
            </w:r>
            <w:r w:rsidR="00036178"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</w:t>
            </w:r>
            <w:r w:rsidR="00036178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036178"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применению</w:t>
            </w:r>
            <w:r w:rsidR="00036178"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036178"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паспорт</w:t>
            </w:r>
          </w:p>
        </w:tc>
        <w:tc>
          <w:tcPr>
            <w:tcW w:w="478" w:type="pct"/>
          </w:tcPr>
          <w:p w:rsidR="00036178" w:rsidRPr="00CA54D7" w:rsidRDefault="008816C7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036178" w:rsidRPr="00CA54D7" w:rsidRDefault="00036178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036178" w:rsidRPr="00CA54D7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036178" w:rsidRPr="00CA54D7" w:rsidRDefault="00036178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  <w:p w:rsidR="003E6DB7" w:rsidRPr="00465FD6" w:rsidRDefault="003E6DB7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AB5A19" w:rsidRPr="00465FD6" w:rsidTr="00EC63DD">
        <w:tc>
          <w:tcPr>
            <w:tcW w:w="520" w:type="pct"/>
          </w:tcPr>
          <w:p w:rsidR="00AB5A19" w:rsidRPr="00465FD6" w:rsidRDefault="00AB5A19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 на рынок малых и средних предприятий  производителей в силу высокой стоимости процедуры регистрации новых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изделий</w:t>
            </w:r>
          </w:p>
        </w:tc>
        <w:tc>
          <w:tcPr>
            <w:tcW w:w="1416" w:type="pct"/>
          </w:tcPr>
          <w:p w:rsidR="00AB5A19" w:rsidRPr="00465FD6" w:rsidRDefault="00AB5A19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Регистрирующий орган сам определяет, где проводить испытания и на свое усмотрение определяет количество и характер испытаний. При низкой стоимости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производители не окупают затраты на их регистрацию и продление действия регистрации.</w:t>
            </w:r>
          </w:p>
        </w:tc>
        <w:tc>
          <w:tcPr>
            <w:tcW w:w="1490" w:type="pct"/>
          </w:tcPr>
          <w:p w:rsidR="00AB5A19" w:rsidRPr="00465FD6" w:rsidRDefault="00AB5A19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Пересмотр процедуры формирования платы за регистрацию медицинских изделий  с целью стимулирования получения новых технологий и медицинских  изделий в РФ.    </w:t>
            </w:r>
          </w:p>
          <w:p w:rsidR="00AB5A19" w:rsidRPr="00465FD6" w:rsidRDefault="00AB5A19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AB5A19" w:rsidRPr="00465FD6" w:rsidRDefault="00AB5A19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AB5A19" w:rsidRPr="00465FD6" w:rsidRDefault="00AB5A19" w:rsidP="00465FD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07" w:type="pct"/>
          </w:tcPr>
          <w:p w:rsidR="00AB5A19" w:rsidRPr="00465FD6" w:rsidRDefault="00AB5A19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AB5A19" w:rsidRPr="00465FD6" w:rsidRDefault="00AB5A19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AB5A19" w:rsidRPr="00465FD6" w:rsidTr="00EC63DD">
        <w:tc>
          <w:tcPr>
            <w:tcW w:w="520" w:type="pct"/>
          </w:tcPr>
          <w:p w:rsidR="00AB5A19" w:rsidRPr="00465FD6" w:rsidRDefault="00AB5A19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требований к организациям, осуществляющим поставку, ремонт  и сервис медицинских изделий</w:t>
            </w:r>
          </w:p>
        </w:tc>
        <w:tc>
          <w:tcPr>
            <w:tcW w:w="1416" w:type="pct"/>
          </w:tcPr>
          <w:p w:rsidR="00AB5A19" w:rsidRPr="00465FD6" w:rsidRDefault="00AB5A19" w:rsidP="004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Поставка медицинских изделий и оборудования требует  профессиональной квалификации поставщиков, монтажников. Важным фактором является  соблюдения условий транспортировки, хранения, нарушение которых может привести к причинению вреда здоровья врачам и пациентам. В настоящий момент в условия отсутствия лицензирования деятельности по продаже медицинских изделий поставщиками, в том числе и по государственным контрактам, могут выступать торговые организации,  не имеющие отношения к медицинским изделиям и осуществляющие только финансирование закупок. Таким образом, профессиональные поставщики медицинских изделий конкурируют  с финансовыми организациями за доступ к потребителю.</w:t>
            </w:r>
          </w:p>
        </w:tc>
        <w:tc>
          <w:tcPr>
            <w:tcW w:w="1490" w:type="pct"/>
          </w:tcPr>
          <w:p w:rsidR="00AB5A19" w:rsidRPr="00465FD6" w:rsidRDefault="008026DE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AB5A19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AB5A19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="00AB5A19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B5A19"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организаций, осуществляющих поставки, ремонт  и сервис медицинских изделий, в соответствующей саморегулируемой организации</w:t>
            </w:r>
          </w:p>
          <w:p w:rsidR="00AB5A19" w:rsidRPr="00465FD6" w:rsidRDefault="00AB5A19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19" w:rsidRPr="00465FD6" w:rsidRDefault="00AB5A19" w:rsidP="00465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AB5A19" w:rsidRPr="00465FD6" w:rsidRDefault="00AB5A19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89" w:type="pct"/>
          </w:tcPr>
          <w:p w:rsidR="00AB5A19" w:rsidRPr="00465FD6" w:rsidRDefault="00AB5A19" w:rsidP="0046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B5A19" w:rsidRPr="00465FD6" w:rsidRDefault="00AB5A19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AB5A19" w:rsidRPr="00465FD6" w:rsidRDefault="00AB5A19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  <w:p w:rsidR="00AB5A19" w:rsidRPr="00465FD6" w:rsidRDefault="00AB5A19" w:rsidP="004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464425" w:rsidRPr="00465FD6" w:rsidTr="00EC63DD">
        <w:tc>
          <w:tcPr>
            <w:tcW w:w="520" w:type="pct"/>
          </w:tcPr>
          <w:p w:rsidR="00464425" w:rsidRPr="00B5013F" w:rsidRDefault="00464425" w:rsidP="004644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Незаконная деятельность интернет сайтов, предлагающих </w:t>
            </w:r>
            <w:r w:rsidR="00A81C2F" w:rsidRPr="00B5013F">
              <w:rPr>
                <w:rFonts w:ascii="Times New Roman" w:hAnsi="Times New Roman" w:cs="Times New Roman"/>
                <w:sz w:val="24"/>
                <w:szCs w:val="24"/>
              </w:rPr>
              <w:t xml:space="preserve">к продаже </w:t>
            </w:r>
            <w:r w:rsidRPr="00B5013F">
              <w:rPr>
                <w:rFonts w:ascii="Times New Roman" w:hAnsi="Times New Roman" w:cs="Times New Roman"/>
                <w:sz w:val="24"/>
                <w:szCs w:val="24"/>
              </w:rPr>
              <w:t xml:space="preserve">и продающих незарегистрированные медицинские изделия  </w:t>
            </w:r>
          </w:p>
        </w:tc>
        <w:tc>
          <w:tcPr>
            <w:tcW w:w="1416" w:type="pct"/>
          </w:tcPr>
          <w:p w:rsidR="007F4CED" w:rsidRPr="007F4CED" w:rsidRDefault="00A81C2F" w:rsidP="007F4CED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sz w:val="24"/>
                <w:szCs w:val="24"/>
              </w:rPr>
              <w:t>В настоящее время действует большое количество сайтов в сети Интернет, осуществляющих населению продажу незарегистрированных, фальсифицированных и недоброкачественных медицинских изделий.</w:t>
            </w:r>
          </w:p>
        </w:tc>
        <w:tc>
          <w:tcPr>
            <w:tcW w:w="1490" w:type="pct"/>
          </w:tcPr>
          <w:p w:rsidR="00464425" w:rsidRPr="00B5013F" w:rsidRDefault="00464425" w:rsidP="002C33E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поправок в Федеральный закон от 27.07.2006 № 149-ФЗ «Об информации, информационных технологиях и о защите информации» в части принятия мер по ограничению доступа к информационным ресурсам, незаконно распространяющим информацию о </w:t>
            </w:r>
            <w:r w:rsidR="00A81C2F"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незарегистрированных медицинских изделиях</w:t>
            </w: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425" w:rsidRPr="00B5013F" w:rsidRDefault="00464425" w:rsidP="002C33E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425" w:rsidRDefault="00464425" w:rsidP="002C3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административного регламента Росздравнадзора по осуществлению </w:t>
            </w:r>
            <w:proofErr w:type="gramStart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дистанционной торговлей лекарственными средствами, </w:t>
            </w:r>
            <w:r w:rsidR="007F4CED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медицинскими изделиями и БАД, </w:t>
            </w:r>
            <w:r w:rsidR="005A0BB7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интернет-сайт</w:t>
            </w:r>
            <w:r w:rsidR="005A0BB7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5A0BB7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  <w:r w:rsidR="005A0BB7">
              <w:rPr>
                <w:rFonts w:ascii="Times New Roman" w:hAnsi="Times New Roman" w:cs="Times New Roman"/>
                <w:b/>
                <w:sz w:val="24"/>
                <w:szCs w:val="24"/>
              </w:rPr>
              <w:t>, предлагающих медицинские услуги</w:t>
            </w:r>
            <w:r w:rsidR="005A0BB7"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A0BB7" w:rsidRPr="00B5013F" w:rsidRDefault="005A0BB7" w:rsidP="002C3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425" w:rsidRPr="00B5013F" w:rsidRDefault="00464425" w:rsidP="007F4CE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соглашения Росздравнадзора и </w:t>
            </w:r>
            <w:proofErr w:type="spellStart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Роскомнадзора</w:t>
            </w:r>
            <w:proofErr w:type="spellEnd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 по вопросам блокировки сайтов, используемых для незаконной торговли лекарственными средствами, </w:t>
            </w:r>
            <w:r w:rsidR="007F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незарегистрированными </w:t>
            </w:r>
            <w:r w:rsidR="007F4CED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медицинскими изделиями и </w:t>
            </w:r>
            <w:r w:rsidR="007F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незарегистрированными </w:t>
            </w:r>
            <w:r w:rsidR="007F4CED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БАД, а также предложения незаконных медицинских услуг.</w:t>
            </w:r>
          </w:p>
        </w:tc>
        <w:tc>
          <w:tcPr>
            <w:tcW w:w="478" w:type="pct"/>
          </w:tcPr>
          <w:p w:rsidR="00464425" w:rsidRPr="00B5013F" w:rsidRDefault="00464425" w:rsidP="002C33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89" w:type="pct"/>
          </w:tcPr>
          <w:p w:rsidR="00464425" w:rsidRPr="00B5013F" w:rsidRDefault="00C43AB3" w:rsidP="00C43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464425"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редотвращение незаконной и бесконтрольной деятельности по продаже населению </w:t>
            </w:r>
            <w:r w:rsidRPr="00B5013F">
              <w:rPr>
                <w:rFonts w:ascii="Times New Roman" w:hAnsi="Times New Roman" w:cs="Times New Roman"/>
                <w:sz w:val="24"/>
                <w:szCs w:val="24"/>
              </w:rPr>
              <w:t xml:space="preserve">незарегистрированных медицинских изделий  </w:t>
            </w:r>
          </w:p>
        </w:tc>
        <w:tc>
          <w:tcPr>
            <w:tcW w:w="607" w:type="pct"/>
          </w:tcPr>
          <w:p w:rsidR="00464425" w:rsidRPr="00B5013F" w:rsidRDefault="00464425" w:rsidP="002C33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Минздрав России, </w:t>
            </w:r>
            <w:proofErr w:type="spellStart"/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Минкомсвязи</w:t>
            </w:r>
            <w:proofErr w:type="spellEnd"/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России,</w:t>
            </w:r>
          </w:p>
          <w:p w:rsidR="00464425" w:rsidRPr="00B5013F" w:rsidRDefault="00464425" w:rsidP="002C33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Росздравнадзор,</w:t>
            </w:r>
          </w:p>
          <w:p w:rsidR="00464425" w:rsidRPr="0051657A" w:rsidRDefault="00464425" w:rsidP="002C3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</w:tbl>
    <w:p w:rsidR="00B55E02" w:rsidRPr="00465FD6" w:rsidRDefault="00B55E02" w:rsidP="0089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E02" w:rsidRPr="00465FD6" w:rsidSect="00EE6E80">
      <w:headerReference w:type="default" r:id="rId8"/>
      <w:pgSz w:w="16838" w:h="11906" w:orient="landscape"/>
      <w:pgMar w:top="709" w:right="536" w:bottom="378" w:left="567" w:header="454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30" w:rsidRDefault="00435D30" w:rsidP="008A2929">
      <w:pPr>
        <w:spacing w:after="0" w:line="240" w:lineRule="auto"/>
      </w:pPr>
      <w:r>
        <w:separator/>
      </w:r>
    </w:p>
  </w:endnote>
  <w:endnote w:type="continuationSeparator" w:id="0">
    <w:p w:rsidR="00435D30" w:rsidRDefault="00435D30" w:rsidP="008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30" w:rsidRDefault="00435D30" w:rsidP="008A2929">
      <w:pPr>
        <w:spacing w:after="0" w:line="240" w:lineRule="auto"/>
      </w:pPr>
      <w:r>
        <w:separator/>
      </w:r>
    </w:p>
  </w:footnote>
  <w:footnote w:type="continuationSeparator" w:id="0">
    <w:p w:rsidR="00435D30" w:rsidRDefault="00435D30" w:rsidP="008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27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2929" w:rsidRPr="002C5236" w:rsidRDefault="008A292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2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5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E38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2C5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2929" w:rsidRDefault="008A29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D38"/>
    <w:multiLevelType w:val="multilevel"/>
    <w:tmpl w:val="67C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507CD"/>
    <w:multiLevelType w:val="multilevel"/>
    <w:tmpl w:val="D3A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1A83"/>
    <w:multiLevelType w:val="hybridMultilevel"/>
    <w:tmpl w:val="AC6E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942"/>
    <w:multiLevelType w:val="hybridMultilevel"/>
    <w:tmpl w:val="803E5D46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FCD"/>
    <w:multiLevelType w:val="multilevel"/>
    <w:tmpl w:val="50C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C097B"/>
    <w:multiLevelType w:val="hybridMultilevel"/>
    <w:tmpl w:val="325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F6B0C"/>
    <w:multiLevelType w:val="multilevel"/>
    <w:tmpl w:val="E5A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1B33"/>
    <w:multiLevelType w:val="hybridMultilevel"/>
    <w:tmpl w:val="BE62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0395"/>
    <w:multiLevelType w:val="hybridMultilevel"/>
    <w:tmpl w:val="1A8254D8"/>
    <w:lvl w:ilvl="0" w:tplc="B20AC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50E48"/>
    <w:multiLevelType w:val="multilevel"/>
    <w:tmpl w:val="276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74EAF"/>
    <w:multiLevelType w:val="multilevel"/>
    <w:tmpl w:val="9DF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5318E"/>
    <w:multiLevelType w:val="multilevel"/>
    <w:tmpl w:val="80B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C6ECD"/>
    <w:multiLevelType w:val="multilevel"/>
    <w:tmpl w:val="F780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60DEE"/>
    <w:multiLevelType w:val="hybridMultilevel"/>
    <w:tmpl w:val="5F4EBA5C"/>
    <w:lvl w:ilvl="0" w:tplc="DFDC9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2964"/>
    <w:multiLevelType w:val="hybridMultilevel"/>
    <w:tmpl w:val="D5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554E0"/>
    <w:multiLevelType w:val="hybridMultilevel"/>
    <w:tmpl w:val="0FD4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7539"/>
    <w:multiLevelType w:val="hybridMultilevel"/>
    <w:tmpl w:val="4A1E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5656D"/>
    <w:multiLevelType w:val="multilevel"/>
    <w:tmpl w:val="AC4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61094"/>
    <w:multiLevelType w:val="multilevel"/>
    <w:tmpl w:val="5E48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73C18"/>
    <w:multiLevelType w:val="multilevel"/>
    <w:tmpl w:val="3D5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25CEC"/>
    <w:multiLevelType w:val="multilevel"/>
    <w:tmpl w:val="0D4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811EF"/>
    <w:multiLevelType w:val="multilevel"/>
    <w:tmpl w:val="4FD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9257B"/>
    <w:multiLevelType w:val="hybridMultilevel"/>
    <w:tmpl w:val="267CE19C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9279F"/>
    <w:multiLevelType w:val="hybridMultilevel"/>
    <w:tmpl w:val="A370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40B91"/>
    <w:multiLevelType w:val="multilevel"/>
    <w:tmpl w:val="D12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2"/>
  </w:num>
  <w:num w:numId="5">
    <w:abstractNumId w:val="21"/>
  </w:num>
  <w:num w:numId="6">
    <w:abstractNumId w:val="0"/>
  </w:num>
  <w:num w:numId="7">
    <w:abstractNumId w:val="10"/>
  </w:num>
  <w:num w:numId="8">
    <w:abstractNumId w:val="24"/>
  </w:num>
  <w:num w:numId="9">
    <w:abstractNumId w:val="11"/>
  </w:num>
  <w:num w:numId="10">
    <w:abstractNumId w:val="19"/>
  </w:num>
  <w:num w:numId="11">
    <w:abstractNumId w:val="18"/>
  </w:num>
  <w:num w:numId="12">
    <w:abstractNumId w:val="9"/>
  </w:num>
  <w:num w:numId="13">
    <w:abstractNumId w:val="6"/>
  </w:num>
  <w:num w:numId="14">
    <w:abstractNumId w:val="17"/>
  </w:num>
  <w:num w:numId="15">
    <w:abstractNumId w:val="3"/>
  </w:num>
  <w:num w:numId="16">
    <w:abstractNumId w:val="22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2"/>
  </w:num>
  <w:num w:numId="22">
    <w:abstractNumId w:val="5"/>
  </w:num>
  <w:num w:numId="23">
    <w:abstractNumId w:val="2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D"/>
    <w:rsid w:val="00003890"/>
    <w:rsid w:val="000302D7"/>
    <w:rsid w:val="0003387A"/>
    <w:rsid w:val="00036178"/>
    <w:rsid w:val="000462EF"/>
    <w:rsid w:val="00071E9C"/>
    <w:rsid w:val="0008496A"/>
    <w:rsid w:val="00091E67"/>
    <w:rsid w:val="000C7839"/>
    <w:rsid w:val="000E2F7B"/>
    <w:rsid w:val="0012703B"/>
    <w:rsid w:val="00174380"/>
    <w:rsid w:val="001B7F6B"/>
    <w:rsid w:val="001D6542"/>
    <w:rsid w:val="00203C02"/>
    <w:rsid w:val="002070E1"/>
    <w:rsid w:val="002135F4"/>
    <w:rsid w:val="002713CD"/>
    <w:rsid w:val="002A046F"/>
    <w:rsid w:val="002B4658"/>
    <w:rsid w:val="002C5236"/>
    <w:rsid w:val="00312738"/>
    <w:rsid w:val="003E6DB7"/>
    <w:rsid w:val="00403708"/>
    <w:rsid w:val="004109A3"/>
    <w:rsid w:val="00412C5E"/>
    <w:rsid w:val="00414B58"/>
    <w:rsid w:val="004337E8"/>
    <w:rsid w:val="00435D30"/>
    <w:rsid w:val="00436667"/>
    <w:rsid w:val="00453AF0"/>
    <w:rsid w:val="0045720B"/>
    <w:rsid w:val="00464425"/>
    <w:rsid w:val="00465FD6"/>
    <w:rsid w:val="0046608B"/>
    <w:rsid w:val="00486C84"/>
    <w:rsid w:val="00510727"/>
    <w:rsid w:val="0053000F"/>
    <w:rsid w:val="0053082A"/>
    <w:rsid w:val="00532048"/>
    <w:rsid w:val="00570886"/>
    <w:rsid w:val="005A0BB7"/>
    <w:rsid w:val="005A2B8C"/>
    <w:rsid w:val="005C25F1"/>
    <w:rsid w:val="005E0B2E"/>
    <w:rsid w:val="0060015B"/>
    <w:rsid w:val="0060344F"/>
    <w:rsid w:val="00626099"/>
    <w:rsid w:val="00627D9F"/>
    <w:rsid w:val="0065281A"/>
    <w:rsid w:val="00693DDB"/>
    <w:rsid w:val="006963FF"/>
    <w:rsid w:val="006A67C3"/>
    <w:rsid w:val="006F1AEB"/>
    <w:rsid w:val="00747DA5"/>
    <w:rsid w:val="00781B41"/>
    <w:rsid w:val="00784528"/>
    <w:rsid w:val="007D54D9"/>
    <w:rsid w:val="007F4CED"/>
    <w:rsid w:val="008026DE"/>
    <w:rsid w:val="008320F9"/>
    <w:rsid w:val="00852DBB"/>
    <w:rsid w:val="00862AF1"/>
    <w:rsid w:val="008816C7"/>
    <w:rsid w:val="00896EF9"/>
    <w:rsid w:val="008A2929"/>
    <w:rsid w:val="008C13CD"/>
    <w:rsid w:val="008E3267"/>
    <w:rsid w:val="00992E4F"/>
    <w:rsid w:val="009951FA"/>
    <w:rsid w:val="009F30E2"/>
    <w:rsid w:val="00A06C91"/>
    <w:rsid w:val="00A07C0A"/>
    <w:rsid w:val="00A63BF6"/>
    <w:rsid w:val="00A736E3"/>
    <w:rsid w:val="00A81C2F"/>
    <w:rsid w:val="00A935C5"/>
    <w:rsid w:val="00A94E70"/>
    <w:rsid w:val="00AB5A19"/>
    <w:rsid w:val="00AE7A9E"/>
    <w:rsid w:val="00B21544"/>
    <w:rsid w:val="00B5013F"/>
    <w:rsid w:val="00B55E02"/>
    <w:rsid w:val="00B56508"/>
    <w:rsid w:val="00B77DC0"/>
    <w:rsid w:val="00B812D5"/>
    <w:rsid w:val="00BC29FE"/>
    <w:rsid w:val="00BD3E38"/>
    <w:rsid w:val="00BE1DE1"/>
    <w:rsid w:val="00C02012"/>
    <w:rsid w:val="00C43AB3"/>
    <w:rsid w:val="00C54401"/>
    <w:rsid w:val="00C612CB"/>
    <w:rsid w:val="00C6529D"/>
    <w:rsid w:val="00C76AA2"/>
    <w:rsid w:val="00C95D2D"/>
    <w:rsid w:val="00CA54D7"/>
    <w:rsid w:val="00CB12A0"/>
    <w:rsid w:val="00CB4F61"/>
    <w:rsid w:val="00CD2785"/>
    <w:rsid w:val="00D804D4"/>
    <w:rsid w:val="00DC4D2E"/>
    <w:rsid w:val="00DE4B31"/>
    <w:rsid w:val="00E05703"/>
    <w:rsid w:val="00E11473"/>
    <w:rsid w:val="00E2071D"/>
    <w:rsid w:val="00E333F7"/>
    <w:rsid w:val="00E50267"/>
    <w:rsid w:val="00EA769E"/>
    <w:rsid w:val="00EB739E"/>
    <w:rsid w:val="00EC63DD"/>
    <w:rsid w:val="00EE6E80"/>
    <w:rsid w:val="00EF15C1"/>
    <w:rsid w:val="00F118F6"/>
    <w:rsid w:val="00F42332"/>
    <w:rsid w:val="00F65357"/>
    <w:rsid w:val="00F7024B"/>
    <w:rsid w:val="00F97380"/>
    <w:rsid w:val="00FC7B8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26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2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3127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127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77DC0"/>
    <w:rPr>
      <w:color w:val="000080"/>
      <w:u w:val="single"/>
    </w:rPr>
  </w:style>
  <w:style w:type="table" w:styleId="a7">
    <w:name w:val="Table Grid"/>
    <w:basedOn w:val="a1"/>
    <w:uiPriority w:val="59"/>
    <w:rsid w:val="00B77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12D5"/>
    <w:pPr>
      <w:spacing w:after="0" w:line="240" w:lineRule="auto"/>
    </w:pPr>
    <w:rPr>
      <w:rFonts w:ascii="Calibri" w:hAnsi="Calibri" w:cs="Times New Roman"/>
      <w:lang w:eastAsia="ru-RU"/>
    </w:rPr>
  </w:style>
  <w:style w:type="table" w:customStyle="1" w:styleId="TableNormal">
    <w:name w:val="Table Normal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character" w:customStyle="1" w:styleId="11">
    <w:name w:val="Верхний колонтитул1"/>
    <w:basedOn w:val="a0"/>
    <w:rsid w:val="00510727"/>
  </w:style>
  <w:style w:type="paragraph" w:styleId="a9">
    <w:name w:val="header"/>
    <w:basedOn w:val="a"/>
    <w:link w:val="aa"/>
    <w:uiPriority w:val="99"/>
    <w:unhideWhenUsed/>
    <w:rsid w:val="008A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929"/>
  </w:style>
  <w:style w:type="paragraph" w:styleId="ab">
    <w:name w:val="footer"/>
    <w:basedOn w:val="a"/>
    <w:link w:val="ac"/>
    <w:uiPriority w:val="99"/>
    <w:unhideWhenUsed/>
    <w:rsid w:val="008A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26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2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3127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127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77DC0"/>
    <w:rPr>
      <w:color w:val="000080"/>
      <w:u w:val="single"/>
    </w:rPr>
  </w:style>
  <w:style w:type="table" w:styleId="a7">
    <w:name w:val="Table Grid"/>
    <w:basedOn w:val="a1"/>
    <w:uiPriority w:val="59"/>
    <w:rsid w:val="00B77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12D5"/>
    <w:pPr>
      <w:spacing w:after="0" w:line="240" w:lineRule="auto"/>
    </w:pPr>
    <w:rPr>
      <w:rFonts w:ascii="Calibri" w:hAnsi="Calibri" w:cs="Times New Roman"/>
      <w:lang w:eastAsia="ru-RU"/>
    </w:rPr>
  </w:style>
  <w:style w:type="table" w:customStyle="1" w:styleId="TableNormal">
    <w:name w:val="Table Normal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character" w:customStyle="1" w:styleId="11">
    <w:name w:val="Верхний колонтитул1"/>
    <w:basedOn w:val="a0"/>
    <w:rsid w:val="00510727"/>
  </w:style>
  <w:style w:type="paragraph" w:styleId="a9">
    <w:name w:val="header"/>
    <w:basedOn w:val="a"/>
    <w:link w:val="aa"/>
    <w:uiPriority w:val="99"/>
    <w:unhideWhenUsed/>
    <w:rsid w:val="008A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929"/>
  </w:style>
  <w:style w:type="paragraph" w:styleId="ab">
    <w:name w:val="footer"/>
    <w:basedOn w:val="a"/>
    <w:link w:val="ac"/>
    <w:uiPriority w:val="99"/>
    <w:unhideWhenUsed/>
    <w:rsid w:val="008A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sharavskaya</dc:creator>
  <cp:lastModifiedBy>sharavskaya</cp:lastModifiedBy>
  <cp:revision>40</cp:revision>
  <cp:lastPrinted>2014-08-01T13:09:00Z</cp:lastPrinted>
  <dcterms:created xsi:type="dcterms:W3CDTF">2014-07-28T10:32:00Z</dcterms:created>
  <dcterms:modified xsi:type="dcterms:W3CDTF">2014-09-10T10:54:00Z</dcterms:modified>
</cp:coreProperties>
</file>