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sz w:val="26"/>
          <w:b/>
          <w:sz w:val="26"/>
          <w:b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Обзор рынка услуг по перевозке пассажиров (и багажа) по регулярным межмуниципальным автобусным маршрутам на территории Мурманской области за период 2 полугодие 2014 года – 1 полугодие 2015 года.   </w:t>
      </w:r>
      <w:r/>
    </w:p>
    <w:p>
      <w:pPr>
        <w:pStyle w:val="NoSpacing"/>
        <w:rPr>
          <w:sz w:val="26"/>
          <w:sz w:val="26"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sz w:val="26"/>
          <w:szCs w:val="26"/>
        </w:rPr>
      </w:r>
      <w:r/>
    </w:p>
    <w:p>
      <w:pPr>
        <w:pStyle w:val="NoSpacing"/>
        <w:rPr>
          <w:sz w:val="26"/>
          <w:sz w:val="26"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sz w:val="26"/>
          <w:szCs w:val="26"/>
        </w:rPr>
      </w:r>
      <w:r/>
    </w:p>
    <w:p>
      <w:pPr>
        <w:pStyle w:val="NoSpacing"/>
        <w:ind w:firstLine="708"/>
        <w:rPr>
          <w:sz w:val="26"/>
          <w:b/>
          <w:sz w:val="26"/>
          <w:b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6"/>
          <w:szCs w:val="26"/>
        </w:rPr>
        <w:t>I. Общие положения.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>В соответствии с указом Президента Российской Федерации от 10.09.2012 N 1276 и  распоряжением Правительства Российской Федерации от 05.09.2015 N 1738-Р "Об утверждении стандарта развития конкуренции в субъектах Российской Федерации", постановлением Губернатора Мурманской области от 25.12.2015 N 156-ПГ утвержден стандарт развития конкуренции в Мурманской области.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>Согласно указанному постановлению, в перечень значимых рынков включен рынок услуг перевозок пассажиров наземным транспортом. Исполнителем, ответственным за содействие развитию конкуренции на рынке услуг связи Мурманской области и мониторинг данного рынка, определен Министерство транспорта и дорожного хозяйства Мурманской области.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>В соответствии с приказом ФАС России от 23.04.2015 № 290/15, в перечень исследуемых ТО ФАС рынков социальной сферы, помимо иных, включен рынок услуг по перевозке пассажиров (и багажа) по регулярным межмуниципальным автобусным маршрутам на территории Мурманской области за период 2 полугодие 2014 года – 1 полугодие 2015 года.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 xml:space="preserve">Для предварительной оценки была использованы сведения, полученные от Министерства транспорта и дорожного хозяйства Мурманской области.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sz w:val="26"/>
          <w:szCs w:val="26"/>
        </w:rPr>
      </w:r>
      <w:r/>
    </w:p>
    <w:p>
      <w:pPr>
        <w:pStyle w:val="NoSpacing"/>
        <w:ind w:firstLine="708"/>
        <w:jc w:val="both"/>
        <w:rPr>
          <w:sz w:val="26"/>
          <w:b/>
          <w:sz w:val="26"/>
          <w:b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6"/>
          <w:szCs w:val="26"/>
        </w:rPr>
        <w:t>II. Определение временного интервала исследования.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>Приказом ФАС России от 23.04.2015 № 290/15 временной интервал исследования определен как 2 полугодие 2014 - 1 полугодие 2015 гг.</w:t>
      </w:r>
      <w:r/>
    </w:p>
    <w:p>
      <w:pPr>
        <w:pStyle w:val="NoSpacing"/>
        <w:ind w:firstLine="708"/>
        <w:rPr>
          <w:sz w:val="26"/>
          <w:sz w:val="26"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sz w:val="26"/>
          <w:szCs w:val="26"/>
        </w:rPr>
      </w:r>
      <w:r/>
    </w:p>
    <w:p>
      <w:pPr>
        <w:pStyle w:val="NoSpacing"/>
        <w:ind w:firstLine="708"/>
        <w:rPr>
          <w:sz w:val="26"/>
          <w:b/>
          <w:sz w:val="26"/>
          <w:b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6"/>
          <w:szCs w:val="26"/>
        </w:rPr>
        <w:t>III. Определение продуктовых границ.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  <w:t xml:space="preserve">Продуктовые границы товарного рынка определены как услуги перевозке пассажиров (и багажа) по регулярным межмуниципальным автобусным маршрутам.  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sz w:val="26"/>
          <w:szCs w:val="26"/>
        </w:rPr>
      </w:r>
      <w:r/>
    </w:p>
    <w:p>
      <w:pPr>
        <w:pStyle w:val="NoSpacing"/>
        <w:ind w:firstLine="708"/>
        <w:jc w:val="both"/>
        <w:rPr>
          <w:sz w:val="26"/>
          <w:b/>
          <w:sz w:val="26"/>
          <w:b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6"/>
          <w:szCs w:val="26"/>
        </w:rPr>
        <w:t>IV. Определение географических границ товарного рынка.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 xml:space="preserve">Географические границы товарного рынка определены территорией Мурманской области.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sz w:val="26"/>
          <w:szCs w:val="26"/>
        </w:rPr>
      </w:r>
      <w:r/>
    </w:p>
    <w:p>
      <w:pPr>
        <w:pStyle w:val="NoSpacing"/>
        <w:ind w:firstLine="708"/>
        <w:jc w:val="both"/>
        <w:rPr>
          <w:sz w:val="26"/>
          <w:b/>
          <w:sz w:val="26"/>
          <w:b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6"/>
          <w:szCs w:val="26"/>
        </w:rPr>
        <w:t>V. Определение состава хозяйствующих субъектов, действующих на товарном рынке.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 xml:space="preserve">На территории Мурманской области отношения в сфере организации транспортного обслуживания населения, в том числе порядок формирования сети маршрутов и порядок распределения маршрутов, регулируются Законом Мурманской области от 13.07.2009 N 1133-01-ЗМО «Об организации транспортного обслуживания населения на территории Мурманской области». </w:t>
      </w:r>
      <w:r/>
    </w:p>
    <w:p>
      <w:pPr>
        <w:sectPr>
          <w:footerReference w:type="default" r:id="rId2"/>
          <w:type w:val="nextPage"/>
          <w:pgSz w:w="11906" w:h="16838"/>
          <w:pgMar w:left="1134" w:right="567" w:header="0" w:top="1134" w:footer="708" w:bottom="1134" w:gutter="0"/>
          <w:pgNumType w:fmt="decimal"/>
          <w:formProt w:val="false"/>
          <w:titlePg/>
          <w:textDirection w:val="lrTb"/>
          <w:docGrid w:type="default" w:linePitch="360" w:charSpace="4294965247"/>
        </w:sect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 xml:space="preserve">Частью 2 статьи 8 указанного закона предусмотрено, что Осуществление регулярных перевозок пассажиров и багажа автомобильным транспортом без заключения договоров о транспортном обслуживании населения по маршрутам регулярных перевозок, заключенных по результатам конкурса на право заключения договора о транспортном обслуживании населения, проведенного в порядке, установленном Правительством Мурманской области, и сохраняющим свое действие в случае, установленном частью 9 статьи 39 Федерального закона, или государственных контрактов для осуществления регулярных перевозок по межмуниципальным маршрутам по регулируемым тарифам в случаях, установленных статьей 14 Федерального закона, или без свидетельства об осуществлении перевозок по межмуниципальным маршрутам регулярных перевозок по нерегулируемым тарифам в случаях, установленных статьей 19 Федерального закона, не допускается.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  <w:t xml:space="preserve">На территории Мурманской области деятельность по транспортному обслуживанию населения по межмуниципальным маршрутам в исследуемый период осуществляли 16 перевозчиков, отобранные Министерством транспорта Мурманской области по результатам конкурсов (А=16): ПАО «Мурманскавтотранс», МУП «Снежногорское АТП», ООО «МТГ», ИП Логинов Ю.Н., ИП Суховская Е.Н., ООО «Арктик-Транс», ООО «Арктик Лайн», ИП Бабенко А.А., ИП Тимошенко К.Н., ИП Шаранов Н.Н., ИП Черноусов О.В., ООО «НОРДБУС», ИП Мацей В.Д., ИП Хардиков И.Ю., ООО «Кандалакшское ПАТП», ООО «Арктик Лайн -1».   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  <w:t xml:space="preserve">Из них, одно автотранспортное предприятие является негосударственным (Муниципальное унитарное предприятие «Снежногорское АТП»), 15 предприятий являются частными (В=1). </w:t>
      </w:r>
      <w:r/>
    </w:p>
    <w:p>
      <w:pPr>
        <w:pStyle w:val="NoSpacing"/>
        <w:jc w:val="both"/>
      </w:pPr>
      <w:r>
        <w:rPr>
          <w:rFonts w:cs="Times New Roman" w:ascii="Times New Roman" w:hAnsi="Times New Roman"/>
          <w:sz w:val="26"/>
          <w:szCs w:val="26"/>
        </w:rPr>
        <w:tab/>
        <w:t xml:space="preserve">Доля негосударственных перевозчиков на регулярных межмуниципальных автобусных маршрутах от общего количества перевозчиков на регулярных межмуниципальных маршрутах составляет </w:t>
      </w:r>
      <w:r>
        <w:rPr>
          <w:rFonts w:cs="Times New Roman" w:ascii="Times New Roman" w:hAnsi="Times New Roman"/>
          <w:sz w:val="26"/>
          <w:szCs w:val="20"/>
          <w:lang w:val="en-US"/>
        </w:rPr>
        <w:t>&lt;...&gt;</w:t>
      </w:r>
      <w:r>
        <w:rPr>
          <w:rFonts w:cs="Times New Roman" w:ascii="Times New Roman" w:hAnsi="Times New Roman"/>
          <w:sz w:val="26"/>
          <w:szCs w:val="26"/>
        </w:rPr>
        <w:t>% (С=В:А).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  <w:t>В Мурманской области в 2014 году существовал 51 регулярный межмуниципальный маршрут. 1 из них (№228 «Кировск-Ковдор») был закрыт в связи с отсутствием пассажиропотока. Таким образом, в первом полугодии 2015 года общее количество регулярных межмуниципальных автобусных маршрутов составило 50 (</w:t>
      </w:r>
      <w:r>
        <w:rPr>
          <w:rFonts w:cs="Times New Roman" w:ascii="Times New Roman" w:hAnsi="Times New Roman"/>
          <w:sz w:val="26"/>
          <w:szCs w:val="26"/>
          <w:lang w:val="en-US"/>
        </w:rPr>
        <w:t>D</w:t>
      </w:r>
      <w:r>
        <w:rPr>
          <w:rFonts w:cs="Times New Roman" w:ascii="Times New Roman" w:hAnsi="Times New Roman"/>
          <w:sz w:val="26"/>
          <w:szCs w:val="26"/>
        </w:rPr>
        <w:t>=50).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  <w:t xml:space="preserve">Из них 49 маршрутов обслуживаются негосударственными перевозчиками (Е=49). </w:t>
      </w:r>
      <w:r/>
    </w:p>
    <w:p>
      <w:pPr>
        <w:pStyle w:val="NoSpacing"/>
        <w:jc w:val="both"/>
      </w:pPr>
      <w:r>
        <w:rPr>
          <w:rFonts w:cs="Times New Roman" w:ascii="Times New Roman" w:hAnsi="Times New Roman"/>
          <w:sz w:val="26"/>
          <w:szCs w:val="26"/>
        </w:rPr>
        <w:tab/>
        <w:t xml:space="preserve">Доля регулярных межмуниципальных автобусных маршрутов, на которых осуществляются перевозки пассажиров негосударственными перевозчиками, от общего количества регулярных межмуниципальных автобусных маршрутов составляет </w:t>
      </w:r>
      <w:r>
        <w:rPr>
          <w:rFonts w:cs="Times New Roman" w:ascii="Times New Roman" w:hAnsi="Times New Roman"/>
          <w:sz w:val="26"/>
          <w:szCs w:val="20"/>
          <w:lang w:val="en-US"/>
        </w:rPr>
        <w:t>&lt;...&gt;</w:t>
      </w:r>
      <w:r>
        <w:rPr>
          <w:rFonts w:cs="Times New Roman" w:ascii="Times New Roman" w:hAnsi="Times New Roman"/>
          <w:sz w:val="26"/>
          <w:szCs w:val="26"/>
        </w:rPr>
        <w:t>% (</w:t>
      </w:r>
      <w:r>
        <w:rPr>
          <w:rFonts w:cs="Times New Roman" w:ascii="Times New Roman" w:hAnsi="Times New Roman"/>
          <w:sz w:val="26"/>
          <w:szCs w:val="26"/>
          <w:lang w:val="en-US"/>
        </w:rPr>
        <w:t>F</w:t>
      </w:r>
      <w:r>
        <w:rPr>
          <w:rFonts w:cs="Times New Roman" w:ascii="Times New Roman" w:hAnsi="Times New Roman"/>
          <w:sz w:val="26"/>
          <w:szCs w:val="26"/>
        </w:rPr>
        <w:t>=</w:t>
      </w:r>
      <w:r>
        <w:rPr>
          <w:rFonts w:cs="Times New Roman" w:ascii="Times New Roman" w:hAnsi="Times New Roman"/>
          <w:sz w:val="26"/>
          <w:szCs w:val="26"/>
          <w:lang w:val="en-US"/>
        </w:rPr>
        <w:t>E</w:t>
      </w:r>
      <w:r>
        <w:rPr>
          <w:rFonts w:cs="Times New Roman" w:ascii="Times New Roman" w:hAnsi="Times New Roman"/>
          <w:sz w:val="26"/>
          <w:szCs w:val="26"/>
        </w:rPr>
        <w:t>:</w:t>
      </w:r>
      <w:r>
        <w:rPr>
          <w:rFonts w:cs="Times New Roman" w:ascii="Times New Roman" w:hAnsi="Times New Roman"/>
          <w:sz w:val="26"/>
          <w:szCs w:val="26"/>
          <w:lang w:val="en-US"/>
        </w:rPr>
        <w:t>D</w:t>
      </w:r>
      <w:r>
        <w:rPr>
          <w:rFonts w:cs="Times New Roman" w:ascii="Times New Roman" w:hAnsi="Times New Roman"/>
          <w:sz w:val="26"/>
          <w:szCs w:val="26"/>
        </w:rPr>
        <w:t>).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  <w:t>На территории Мурманской области во втором полугодии 2014 года на регулярных межмуниципальных автобусных маршрутов совершено 251 298 рейсов, в первом полугодии 2015 года совершено 245 854 рейса. Таким образом, общее количество рейсов, совершенных в исследуемый период, составило 497 152 рейса (</w:t>
      </w:r>
      <w:r>
        <w:rPr>
          <w:rFonts w:cs="Times New Roman" w:ascii="Times New Roman" w:hAnsi="Times New Roman"/>
          <w:sz w:val="26"/>
          <w:szCs w:val="26"/>
          <w:lang w:val="en-US"/>
        </w:rPr>
        <w:t>G</w:t>
      </w:r>
      <w:r>
        <w:rPr>
          <w:rFonts w:cs="Times New Roman" w:ascii="Times New Roman" w:hAnsi="Times New Roman"/>
          <w:sz w:val="26"/>
          <w:szCs w:val="26"/>
        </w:rPr>
        <w:t xml:space="preserve">= 497 152).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  <w:t>Количество рейсов по регулярным межмуниципальным автобусным маршрутам, осуществляемых негосударственными перевозчиками во втором полугодии 2014 года составило 249 215, в первом полугодии 2015 года – 243 771 рейса. Таким образом, в исследуемый период на территории Мурманской области негосударственными перевозчиками совершено 492 986 рейсов  (H= 492</w:t>
      </w:r>
      <w:r>
        <w:rPr>
          <w:rFonts w:cs="Times New Roman" w:ascii="Times New Roman" w:hAnsi="Times New Roman"/>
          <w:sz w:val="26"/>
          <w:szCs w:val="26"/>
          <w:lang w:val="en-US"/>
        </w:rPr>
        <w:t> </w:t>
      </w:r>
      <w:r>
        <w:rPr>
          <w:rFonts w:cs="Times New Roman" w:ascii="Times New Roman" w:hAnsi="Times New Roman"/>
          <w:sz w:val="26"/>
          <w:szCs w:val="26"/>
        </w:rPr>
        <w:t>986).</w:t>
      </w:r>
      <w:r/>
    </w:p>
    <w:p>
      <w:pPr>
        <w:pStyle w:val="NoSpacing"/>
        <w:jc w:val="both"/>
      </w:pPr>
      <w:r>
        <w:rPr>
          <w:rFonts w:cs="Times New Roman" w:ascii="Times New Roman" w:hAnsi="Times New Roman"/>
          <w:sz w:val="26"/>
          <w:szCs w:val="26"/>
        </w:rPr>
        <w:tab/>
        <w:t xml:space="preserve">Доля рейсов, осуществляемых негосударственными перевозчиками по регулярным межмуниципальным автобусным маршрутам, от общего количества рейсов по регулярным автобусным маршрутам составила </w:t>
      </w:r>
      <w:r>
        <w:rPr>
          <w:rFonts w:cs="Times New Roman" w:ascii="Times New Roman" w:hAnsi="Times New Roman"/>
          <w:sz w:val="26"/>
          <w:szCs w:val="20"/>
          <w:lang w:val="en-US"/>
        </w:rPr>
        <w:t>&lt;...&gt;</w:t>
      </w:r>
      <w:r>
        <w:rPr>
          <w:rFonts w:cs="Times New Roman" w:ascii="Times New Roman" w:hAnsi="Times New Roman"/>
          <w:sz w:val="26"/>
          <w:szCs w:val="26"/>
        </w:rPr>
        <w:t>% (</w:t>
      </w:r>
      <w:r>
        <w:rPr>
          <w:rFonts w:cs="Times New Roman" w:ascii="Times New Roman" w:hAnsi="Times New Roman"/>
          <w:sz w:val="26"/>
          <w:szCs w:val="26"/>
          <w:lang w:val="en-US"/>
        </w:rPr>
        <w:t>I</w:t>
      </w:r>
      <w:r>
        <w:rPr>
          <w:rFonts w:cs="Times New Roman" w:ascii="Times New Roman" w:hAnsi="Times New Roman"/>
          <w:sz w:val="26"/>
          <w:szCs w:val="26"/>
        </w:rPr>
        <w:t>=</w:t>
      </w:r>
      <w:r>
        <w:rPr>
          <w:rFonts w:cs="Times New Roman" w:ascii="Times New Roman" w:hAnsi="Times New Roman"/>
          <w:sz w:val="26"/>
          <w:szCs w:val="26"/>
          <w:lang w:val="en-US"/>
        </w:rPr>
        <w:t>H</w:t>
      </w:r>
      <w:r>
        <w:rPr>
          <w:rFonts w:cs="Times New Roman" w:ascii="Times New Roman" w:hAnsi="Times New Roman"/>
          <w:sz w:val="26"/>
          <w:szCs w:val="26"/>
        </w:rPr>
        <w:t>:</w:t>
      </w:r>
      <w:r>
        <w:rPr>
          <w:rFonts w:cs="Times New Roman" w:ascii="Times New Roman" w:hAnsi="Times New Roman"/>
          <w:sz w:val="26"/>
          <w:szCs w:val="26"/>
          <w:lang w:val="en-US"/>
        </w:rPr>
        <w:t>G</w:t>
      </w:r>
      <w:r>
        <w:rPr>
          <w:rFonts w:cs="Times New Roman" w:ascii="Times New Roman" w:hAnsi="Times New Roman"/>
          <w:sz w:val="26"/>
          <w:szCs w:val="26"/>
        </w:rPr>
        <w:t xml:space="preserve">). </w:t>
        <w:tab/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</w:r>
      <w:r/>
    </w:p>
    <w:p>
      <w:pPr>
        <w:pStyle w:val="NoSpacing"/>
        <w:ind w:firstLine="708"/>
        <w:jc w:val="both"/>
        <w:rPr>
          <w:sz w:val="26"/>
          <w:b/>
          <w:sz w:val="26"/>
          <w:b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Информация о перевозчиках, обслуживающих сельские поселения. 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 xml:space="preserve">На территории Мурманской области деятельность по транспортному обслуживанию в сельских поселениях на регулярных межмуниципальных маршрутах осуществляют 6 автотранспортных предприятий.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  <w:t xml:space="preserve">Перевозка пассажиров сельских поселений в межмуниципальном и внутримуниципальном сообщении осуществляется по сети автомобильных дорог регионального значения общей протяженностью 1942,3 км., обеспечивающих связь с административным центром г.Мурманск по федеральной трасе Р-21 «Кола».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</w:r>
      <w:bookmarkStart w:id="0" w:name="_GoBack"/>
      <w:bookmarkEnd w:id="0"/>
      <w:r>
        <w:rPr>
          <w:rFonts w:cs="Times New Roman" w:ascii="Times New Roman" w:hAnsi="Times New Roman"/>
          <w:sz w:val="26"/>
          <w:szCs w:val="26"/>
        </w:rPr>
        <w:t xml:space="preserve">В Мурманской области действуют 17 регулярных межмуниципальных автобусных маршрутов, связывающие сельские поселения между собой, а также с областным центром. 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 xml:space="preserve">В исследуемый период транспортное обслуживание сельских поселений на регулярных маршрутах осуществляло 6 автотранспортных предприятий.  </w:t>
      </w:r>
      <w:r/>
    </w:p>
    <w:p>
      <w:pPr>
        <w:pStyle w:val="NoSpacing"/>
        <w:ind w:firstLine="708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 xml:space="preserve">По информации Министерства транспорта и дорожного хозяйства Мурманской области, в мурманской области отсутствуют альтернативные виды транспортного сообщения с сельскими поселениями.  </w:t>
        <w:tab/>
        <w:tab/>
      </w:r>
      <w:r/>
    </w:p>
    <w:p>
      <w:pPr>
        <w:pStyle w:val="NoSpacing"/>
        <w:ind w:firstLine="708"/>
        <w:jc w:val="both"/>
        <w:rPr>
          <w:sz w:val="26"/>
          <w:b/>
          <w:sz w:val="26"/>
          <w:b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b/>
          <w:sz w:val="26"/>
          <w:szCs w:val="26"/>
        </w:rPr>
      </w:r>
      <w:r/>
    </w:p>
    <w:p>
      <w:pPr>
        <w:pStyle w:val="NoSpacing"/>
        <w:ind w:firstLine="708"/>
        <w:jc w:val="both"/>
        <w:rPr>
          <w:sz w:val="26"/>
          <w:b/>
          <w:sz w:val="26"/>
          <w:b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6"/>
          <w:szCs w:val="26"/>
          <w:lang w:val="en-US"/>
        </w:rPr>
        <w:t>VI</w:t>
      </w:r>
      <w:r>
        <w:rPr>
          <w:rFonts w:cs="Times New Roman" w:ascii="Times New Roman" w:hAnsi="Times New Roman"/>
          <w:b/>
          <w:sz w:val="26"/>
          <w:szCs w:val="26"/>
        </w:rPr>
        <w:t xml:space="preserve">.Выводы. </w:t>
        <w:tab/>
      </w:r>
      <w:r/>
    </w:p>
    <w:p>
      <w:pPr>
        <w:pStyle w:val="NoSpacing"/>
        <w:ind w:firstLine="708"/>
        <w:jc w:val="both"/>
      </w:pPr>
      <w:r>
        <w:rPr>
          <w:rFonts w:cs="Times New Roman" w:ascii="Times New Roman" w:hAnsi="Times New Roman"/>
          <w:sz w:val="26"/>
          <w:szCs w:val="26"/>
        </w:rPr>
        <w:t>По результатам исследования конкурентной среды на рынке услуг по перевозке пассажиров (и багажа) по регулярным межмуниципальным автобусным маршрутам на территории Мурманской области можно прийти к выводу о достижении целевых показателей, установленных Стандартами развития конкуренции:</w:t>
      </w:r>
      <w:r/>
    </w:p>
    <w:p>
      <w:pPr>
        <w:pStyle w:val="NoSpacing"/>
        <w:ind w:firstLine="708"/>
        <w:jc w:val="both"/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 xml:space="preserve">- доля негосударственных перевозчиков на регулярных межмуниципальных автобусных маршрутах от общего количества перевозчиков на регулярных межмуниципальных маршрутах составляет 6%;   </w:t>
      </w:r>
      <w:r/>
    </w:p>
    <w:p>
      <w:pPr>
        <w:pStyle w:val="NoSpacing"/>
        <w:ind w:firstLine="708"/>
        <w:jc w:val="both"/>
      </w:pPr>
      <w:r>
        <w:rPr>
          <w:rFonts w:cs="Times New Roman" w:ascii="Times New Roman" w:hAnsi="Times New Roman"/>
          <w:sz w:val="26"/>
          <w:szCs w:val="26"/>
        </w:rPr>
        <w:t xml:space="preserve">- доля регулярных межмуниципальных автобусных маршрутов, на которых осуществляются перевозки пассажиров негосударственными перевозчиками, от общего количества регулярных межмуниципальных автобусных маршрутов составляет 98%; </w:t>
      </w:r>
      <w:r/>
    </w:p>
    <w:p>
      <w:pPr>
        <w:pStyle w:val="NoSpacing"/>
        <w:ind w:firstLine="708"/>
        <w:jc w:val="both"/>
      </w:pPr>
      <w:r>
        <w:rPr>
          <w:rFonts w:cs="Times New Roman" w:ascii="Times New Roman" w:hAnsi="Times New Roman"/>
          <w:sz w:val="26"/>
          <w:szCs w:val="26"/>
        </w:rPr>
        <w:t xml:space="preserve">- доля рейсов, осуществляемых негосударственными перевозчиками по регулярным межмуниципальным автобусным маршрутам, от общего количества рейсов по регулярным автобусным маршрутам составила 99%. </w:t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ab/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sz w:val="26"/>
          <w:szCs w:val="26"/>
        </w:rPr>
      </w:r>
      <w:r/>
    </w:p>
    <w:p>
      <w:pPr>
        <w:pStyle w:val="NoSpacing"/>
        <w:jc w:val="both"/>
        <w:rPr>
          <w:sz w:val="26"/>
          <w:sz w:val="26"/>
          <w:szCs w:val="26"/>
          <w:rFonts w:ascii="Times New Roman" w:hAnsi="Times New Roman" w:eastAsia="Calibri" w:cs="Times New Roman" w:eastAsiaTheme="minorHAnsi"/>
          <w:color w:val="00000A"/>
          <w:lang w:val="ru-RU" w:eastAsia="en-US" w:bidi="ar-SA"/>
        </w:rPr>
      </w:pPr>
      <w:r>
        <w:rPr>
          <w:rFonts w:cs="Times New Roman" w:ascii="Times New Roman" w:hAnsi="Times New Roman"/>
          <w:sz w:val="26"/>
          <w:szCs w:val="26"/>
        </w:rPr>
      </w:r>
      <w:r/>
    </w:p>
    <w:p>
      <w:pPr>
        <w:pStyle w:val="NoSpacing"/>
        <w:jc w:val="both"/>
        <w:rPr>
          <w:sz w:val="22"/>
          <w:sz w:val="22"/>
          <w:szCs w:val="22"/>
          <w:rFonts w:ascii="Calibri" w:hAnsi="Calibri" w:eastAsia="Calibri" w:cs="" w:asciiTheme="minorHAnsi" w:cstheme="minorBidi" w:eastAsiaTheme="minorHAnsi" w:hAnsiTheme="minorHAnsi"/>
          <w:color w:val="00000A"/>
          <w:lang w:val="ru-RU" w:eastAsia="en-US" w:bidi="ar-SA"/>
        </w:rPr>
      </w:pPr>
      <w:r>
        <w:rPr/>
      </w:r>
      <w:r/>
    </w:p>
    <w:sectPr>
      <w:footerReference w:type="default" r:id="rId3"/>
      <w:type w:val="nextPage"/>
      <w:pgSz w:w="11906" w:h="16838"/>
      <w:pgMar w:left="1134" w:right="567" w:header="0" w:top="1134" w:footer="708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"/>
      </w:docPartObj>
    </w:sdtPr>
    <w:sdtContent>
      <w:p>
        <w:pPr>
          <w:pStyle w:val="Style22"/>
          <w:jc w:val="right"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  <w:r/>
      </w:p>
    </w:sdtContent>
  </w:sdt>
  <w:p>
    <w:pPr>
      <w:pStyle w:val="Style22"/>
    </w:pPr>
    <w:r>
      <w:rPr/>
    </w:r>
    <w:r/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"/>
      </w:docPartObj>
    </w:sdtPr>
    <w:sdtContent>
      <w:p>
        <w:pPr>
          <w:pStyle w:val="Style22"/>
          <w:jc w:val="right"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4</w:t>
        </w:r>
        <w:r>
          <w:fldChar w:fldCharType="end"/>
        </w:r>
        <w:r/>
      </w:p>
    </w:sdtContent>
  </w:sdt>
  <w:p>
    <w:pPr>
      <w:pStyle w:val="Style22"/>
    </w:pPr>
    <w:r>
      <w:rPr/>
    </w:r>
    <w:r/>
  </w:p>
</w:ft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Верхний колонтитул Знак"/>
    <w:basedOn w:val="DefaultParagraphFont"/>
    <w:link w:val="a4"/>
    <w:uiPriority w:val="99"/>
    <w:rsid w:val="00347edc"/>
    <w:rPr/>
  </w:style>
  <w:style w:type="character" w:styleId="Style15" w:customStyle="1">
    <w:name w:val="Нижний колонтитул Знак"/>
    <w:basedOn w:val="DefaultParagraphFont"/>
    <w:link w:val="a6"/>
    <w:uiPriority w:val="99"/>
    <w:rsid w:val="00347edc"/>
    <w:rPr/>
  </w:style>
  <w:style w:type="paragraph" w:styleId="Style16">
    <w:name w:val="Заголовок"/>
    <w:basedOn w:val="Normal"/>
    <w:next w:val="Style1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pPr>
      <w:spacing w:lineRule="auto" w:line="288" w:before="0" w:after="140"/>
    </w:pPr>
    <w:rPr/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c521b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Style21">
    <w:name w:val="Верхний колонтитул"/>
    <w:basedOn w:val="Normal"/>
    <w:link w:val="a5"/>
    <w:uiPriority w:val="99"/>
    <w:unhideWhenUsed/>
    <w:rsid w:val="00347ed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Нижний колонтитул"/>
    <w:basedOn w:val="Normal"/>
    <w:link w:val="a7"/>
    <w:uiPriority w:val="99"/>
    <w:unhideWhenUsed/>
    <w:rsid w:val="00347ed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4338</TotalTime>
  <Application>LibreOffice/4.3.0.4$Windows_x86 LibreOffice_project/62ad5818884a2fc2e5780dd45466868d41009ec0</Application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2016-02-05T10:53:00Z</dcterms:created>
  <dc:creator>Редина Е.Н.</dc:creator>
  <dc:language>ru-RU</dc:language>
  <cp:lastPrinted>2016-01-22T07:50:00Z</cp:lastPrinted>
  <dcterms:modified xsi:type="dcterms:W3CDTF">2016-11-15T13:01:34Z</dcterms:modified>
  <cp:revision>9</cp:revision>
</cp:coreProperties>
</file>