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Форма </w:t>
      </w:r>
      <w:r/>
    </w:p>
    <w:p>
      <w:pPr>
        <w:pStyle w:val="Normal"/>
        <w:spacing w:lineRule="auto" w:line="240" w:beforeAutospacing="1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О ходе внедрения Стандарта развития конкуренции в Мурманской области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  <w:r/>
    </w:p>
    <w:tbl>
      <w:tblPr>
        <w:tblW w:w="15004" w:type="dxa"/>
        <w:jc w:val="left"/>
        <w:tblInd w:w="-4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58" w:type="dxa"/>
          <w:bottom w:w="105" w:type="dxa"/>
          <w:right w:w="105" w:type="dxa"/>
        </w:tblCellMar>
      </w:tblPr>
      <w:tblGrid>
        <w:gridCol w:w="1961"/>
        <w:gridCol w:w="2123"/>
        <w:gridCol w:w="2267"/>
        <w:gridCol w:w="1982"/>
        <w:gridCol w:w="2124"/>
        <w:gridCol w:w="1840"/>
        <w:gridCol w:w="2706"/>
      </w:tblGrid>
      <w:tr>
        <w:trPr/>
        <w:tc>
          <w:tcPr>
            <w:tcW w:w="1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II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уполномоченного органа</w:t>
            </w:r>
            <w:r/>
          </w:p>
        </w:tc>
        <w:tc>
          <w:tcPr>
            <w:tcW w:w="21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III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Создание Коллегиального органа </w:t>
            </w:r>
            <w:r/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  <w:r/>
          </w:p>
        </w:tc>
        <w:tc>
          <w:tcPr>
            <w:tcW w:w="19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Разработка/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«дорожной карты»</w:t>
            </w:r>
            <w:r/>
          </w:p>
        </w:tc>
        <w:tc>
          <w:tcPr>
            <w:tcW w:w="2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VI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Проведение мониторинга </w:t>
            </w:r>
            <w:r/>
          </w:p>
        </w:tc>
        <w:tc>
          <w:tcPr>
            <w:tcW w:w="1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Общественный контроль за деятельностью субъектов естественных монополий </w:t>
            </w:r>
            <w:r/>
          </w:p>
        </w:tc>
        <w:tc>
          <w:tcPr>
            <w:tcW w:w="2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VIII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  <w:r/>
          </w:p>
        </w:tc>
      </w:tr>
      <w:tr>
        <w:trPr/>
        <w:tc>
          <w:tcPr>
            <w:tcW w:w="1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21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19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2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1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2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  <w:r/>
          </w:p>
        </w:tc>
      </w:tr>
      <w:tr>
        <w:trPr/>
        <w:tc>
          <w:tcPr>
            <w:tcW w:w="1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Выполнено.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Постановление Губернатора Мурманской области от 29.12.2015 № 156-ПГ </w:t>
            </w:r>
            <w:r/>
          </w:p>
        </w:tc>
        <w:tc>
          <w:tcPr>
            <w:tcW w:w="21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Выполнено.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Постановление Правительства Мурманской области от 29.02.2016 № 84-ПП </w:t>
            </w:r>
            <w:r/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Подготовлен проект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</w:t>
            </w:r>
            <w:r/>
          </w:p>
        </w:tc>
        <w:tc>
          <w:tcPr>
            <w:tcW w:w="19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 стадии выполнения.</w:t>
            </w:r>
            <w:r/>
          </w:p>
        </w:tc>
        <w:tc>
          <w:tcPr>
            <w:tcW w:w="2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 стадии выполнения.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Непосредственно органами исполнительной власти региона</w:t>
            </w:r>
            <w:r/>
          </w:p>
        </w:tc>
        <w:tc>
          <w:tcPr>
            <w:tcW w:w="1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 стадии выполнения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  <w:r/>
          </w:p>
        </w:tc>
        <w:tc>
          <w:tcPr>
            <w:tcW w:w="27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Выполнено.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официальном</w:t>
            </w:r>
            <w:r>
              <w:rPr>
                <w:rStyle w:val="FontStyle13"/>
                <w:sz w:val="20"/>
                <w:szCs w:val="20"/>
              </w:rPr>
              <w:t xml:space="preserve"> сайте (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http://mrpp.gov-murman.ru/activities/invest_policy/competition_dev/</w:t>
              </w:r>
            </w:hyperlink>
            <w:r>
              <w:rPr>
                <w:rStyle w:val="FontStyle13"/>
                <w:sz w:val="20"/>
                <w:szCs w:val="20"/>
              </w:rPr>
              <w:t>) и инвестиционном портале субъекта РФ (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http://invest.gov-murman.ru/investor_guide/standart_razvitiya_kolnkurencii/</w:t>
              </w:r>
            </w:hyperlink>
            <w:r>
              <w:rPr>
                <w:rStyle w:val="FontStyle13"/>
                <w:sz w:val="20"/>
                <w:szCs w:val="20"/>
              </w:rPr>
              <w:t xml:space="preserve">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предусмотрена вкладка «Развитие конкуренции».</w:t>
            </w:r>
            <w:r/>
          </w:p>
          <w:p>
            <w:pPr>
              <w:pStyle w:val="Style51"/>
              <w:widowControl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Style51"/>
              <w:widowControl/>
              <w:rPr>
                <w:sz w:val="20"/>
                <w:u w:val="single"/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с главной страницы портала Правительства Мурманской области (</w:t>
            </w:r>
            <w:hyperlink r:id="rId4">
              <w:r>
                <w:rPr>
                  <w:rStyle w:val="Style14"/>
                  <w:sz w:val="20"/>
                  <w:szCs w:val="20"/>
                </w:rPr>
                <w:t>http://gov-murman.ru/</w:t>
              </w:r>
            </w:hyperlink>
            <w:r>
              <w:rPr>
                <w:sz w:val="20"/>
                <w:szCs w:val="20"/>
              </w:rPr>
              <w:t>):</w:t>
            </w:r>
            <w:r/>
          </w:p>
          <w:p>
            <w:pPr>
              <w:pStyle w:val="Style51"/>
              <w:widowControl/>
              <w:rPr>
                <w:sz w:val="20"/>
                <w:i/>
                <w:sz w:val="20"/>
                <w:i/>
                <w:szCs w:val="20"/>
              </w:rPr>
            </w:pPr>
            <w:r>
              <w:rPr>
                <w:i/>
                <w:sz w:val="20"/>
                <w:szCs w:val="20"/>
              </w:rPr>
              <w:t>Правительство Мурманской области / Власть / Исполнительные органы государственной власти / Министерство развития промышленности и предпринимательства Мурманской области / Направления деятельности / Инвестиционная политика / Развитие конкуренции.</w:t>
            </w:r>
            <w:r/>
          </w:p>
          <w:p>
            <w:pPr>
              <w:pStyle w:val="Style51"/>
              <w:widowControl/>
              <w:rPr>
                <w:sz w:val="20"/>
                <w:i/>
                <w:sz w:val="20"/>
                <w:i/>
                <w:szCs w:val="20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i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Style51"/>
              <w:widowControl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с главной страницы Инвестиционного портала Мурманской области (</w:t>
            </w:r>
            <w:hyperlink r:id="rId5">
              <w:r>
                <w:rPr>
                  <w:rStyle w:val="Style14"/>
                  <w:sz w:val="20"/>
                  <w:szCs w:val="20"/>
                </w:rPr>
                <w:t>http://invest.gov-murman.ru/</w:t>
              </w:r>
            </w:hyperlink>
            <w:r>
              <w:rPr>
                <w:sz w:val="20"/>
                <w:szCs w:val="20"/>
              </w:rPr>
              <w:t>):</w:t>
            </w:r>
            <w:r/>
          </w:p>
          <w:p>
            <w:pPr>
              <w:pStyle w:val="Style51"/>
              <w:widowControl/>
              <w:rPr>
                <w:sz w:val="20"/>
                <w:i/>
                <w:sz w:val="20"/>
                <w:i/>
                <w:szCs w:val="20"/>
              </w:rPr>
            </w:pPr>
            <w:r>
              <w:rPr>
                <w:i/>
                <w:sz w:val="20"/>
                <w:szCs w:val="20"/>
              </w:rPr>
              <w:t>Инвестиционный портал Мурманской области / Инвестиционный климат/ Стандарт развития конкуренции.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  <w:lang w:val="ru-RU" w:eastAsia="ru-RU" w:bidi="ar-SA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Style13" w:customStyle="1">
    <w:name w:val="Font Style13"/>
    <w:basedOn w:val="DefaultParagraphFont"/>
    <w:uiPriority w:val="99"/>
    <w:rsid w:val="00f112b5"/>
    <w:rPr>
      <w:rFonts w:ascii="Times New Roman" w:hAnsi="Times New Roman" w:cs="Times New Roman"/>
      <w:sz w:val="22"/>
      <w:szCs w:val="22"/>
    </w:rPr>
  </w:style>
  <w:style w:type="character" w:styleId="Style14">
    <w:name w:val="Интернет-ссылка"/>
    <w:basedOn w:val="DefaultParagraphFont"/>
    <w:uiPriority w:val="99"/>
    <w:unhideWhenUsed/>
    <w:rsid w:val="00f112b5"/>
    <w:rPr>
      <w:color w:val="0000FF" w:themeColor="hyperlink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51" w:customStyle="1">
    <w:name w:val="Style5"/>
    <w:basedOn w:val="Normal"/>
    <w:uiPriority w:val="99"/>
    <w:rsid w:val="00f112b5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rpp.gov-murman.ru/activities/invest_policy/competition_dev/" TargetMode="External"/><Relationship Id="rId3" Type="http://schemas.openxmlformats.org/officeDocument/2006/relationships/hyperlink" Target="http://invest.gov-murman.ru/investor_guide/standart_razvitiya_kolnkurencii/" TargetMode="External"/><Relationship Id="rId4" Type="http://schemas.openxmlformats.org/officeDocument/2006/relationships/hyperlink" Target="http://gov-murman.ru/" TargetMode="External"/><Relationship Id="rId5" Type="http://schemas.openxmlformats.org/officeDocument/2006/relationships/hyperlink" Target="http://invest.gov-murman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LibreOffice/4.3.0.4$Windows_x86 LibreOffice_project/62ad5818884a2fc2e5780dd45466868d41009ec0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2016-07-06T15:01:00Z</dcterms:created>
  <dc:creator>Золотухина Ирина Александровна</dc:creator>
  <dc:language>ru-RU</dc:language>
  <dcterms:modified xsi:type="dcterms:W3CDTF">2016-11-16T15:20:09Z</dcterms:modified>
  <cp:revision>5</cp:revision>
</cp:coreProperties>
</file>